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72E8" w:rsidRDefault="00EB5F34">
      <w:pPr>
        <w:widowControl w:val="0"/>
        <w:jc w:val="center"/>
      </w:pPr>
      <w:r>
        <w:rPr>
          <w:noProof/>
          <w:color w:val="FFFFFF"/>
        </w:rPr>
        <w:drawing>
          <wp:inline distT="0" distB="0" distL="0" distR="0">
            <wp:extent cx="819327" cy="77089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a:stretch/>
                  </pic:blipFill>
                  <pic:spPr>
                    <a:xfrm>
                      <a:off x="0" y="0"/>
                      <a:ext cx="819327" cy="770895"/>
                    </a:xfrm>
                    <a:prstGeom prst="rect">
                      <a:avLst/>
                    </a:prstGeom>
                  </pic:spPr>
                </pic:pic>
              </a:graphicData>
            </a:graphic>
          </wp:inline>
        </w:drawing>
      </w:r>
    </w:p>
    <w:p w:rsidR="002A72E8" w:rsidRDefault="00EB5F34">
      <w:pPr>
        <w:widowControl w:val="0"/>
        <w:jc w:val="center"/>
      </w:pPr>
      <w:r>
        <w:rPr>
          <w:sz w:val="36"/>
        </w:rPr>
        <w:t>П О С Т А Н О В Л Е Н И Е</w:t>
      </w:r>
      <w:r>
        <w:rPr>
          <w:sz w:val="36"/>
        </w:rPr>
        <w:br/>
      </w:r>
      <w:r>
        <w:rPr>
          <w:spacing w:val="30"/>
          <w:sz w:val="32"/>
        </w:rPr>
        <w:t>АДМИНИСТРАЦИИ ГОРОДА СТАВРОПОЛЯ</w:t>
      </w:r>
      <w:r>
        <w:rPr>
          <w:spacing w:val="30"/>
          <w:sz w:val="32"/>
        </w:rPr>
        <w:br/>
        <w:t>СТАВРОПОЛЬСКОГО КРАЯ</w:t>
      </w:r>
    </w:p>
    <w:p w:rsidR="002A72E8" w:rsidRDefault="002A72E8">
      <w:pPr>
        <w:widowControl w:val="0"/>
        <w:jc w:val="both"/>
        <w:rPr>
          <w:spacing w:val="30"/>
          <w:sz w:val="32"/>
        </w:rPr>
      </w:pPr>
    </w:p>
    <w:p w:rsidR="002A72E8" w:rsidRDefault="00EB5F34">
      <w:pPr>
        <w:rPr>
          <w:sz w:val="28"/>
        </w:rPr>
      </w:pPr>
      <w:r>
        <w:rPr>
          <w:spacing w:val="30"/>
          <w:sz w:val="32"/>
        </w:rPr>
        <w:t xml:space="preserve">20.10.2025                г. Ставрополь              </w:t>
      </w:r>
      <w:r w:rsidR="00CF0955">
        <w:rPr>
          <w:spacing w:val="30"/>
          <w:sz w:val="32"/>
        </w:rPr>
        <w:t xml:space="preserve">    </w:t>
      </w:r>
      <w:r>
        <w:rPr>
          <w:spacing w:val="30"/>
          <w:sz w:val="32"/>
        </w:rPr>
        <w:t xml:space="preserve">  № 2337</w:t>
      </w:r>
    </w:p>
    <w:p w:rsidR="002A72E8" w:rsidRDefault="002A72E8">
      <w:pPr>
        <w:spacing w:line="283" w:lineRule="exact"/>
        <w:rPr>
          <w:sz w:val="28"/>
        </w:rPr>
      </w:pPr>
    </w:p>
    <w:p w:rsidR="002A72E8" w:rsidRDefault="00EB5F34">
      <w:pPr>
        <w:spacing w:line="240" w:lineRule="exact"/>
        <w:jc w:val="both"/>
      </w:pPr>
      <w:r>
        <w:rPr>
          <w:sz w:val="28"/>
        </w:rPr>
        <w:t>Об утверждении Порядка проведения реинжиниринга процессов                                    в администрации города Ставрополя, отраслевых (функциональных)                                и территориальных органах  администрации города Ставрополя</w:t>
      </w:r>
    </w:p>
    <w:p w:rsidR="002A72E8" w:rsidRDefault="002A72E8">
      <w:pPr>
        <w:spacing w:line="283" w:lineRule="exact"/>
        <w:jc w:val="both"/>
        <w:rPr>
          <w:sz w:val="28"/>
        </w:rPr>
      </w:pPr>
    </w:p>
    <w:p w:rsidR="002A72E8" w:rsidRDefault="00EB5F34">
      <w:pPr>
        <w:widowControl w:val="0"/>
        <w:tabs>
          <w:tab w:val="left" w:pos="994"/>
        </w:tabs>
        <w:ind w:firstLine="709"/>
        <w:jc w:val="both"/>
      </w:pPr>
      <w:r>
        <w:rPr>
          <w:sz w:val="28"/>
        </w:rPr>
        <w:t>В целях реализации инициативы «Государство для людей», предусмотренной перечнем инициатив социально-экономического развития Российской Федерации до 2030 года, утвержденным распоряжением Правительства Российской Федерации от 06 октября 2021 г. № 2816-р, федерального проекта «Государство для людей»</w:t>
      </w:r>
    </w:p>
    <w:p w:rsidR="002A72E8" w:rsidRDefault="002A72E8">
      <w:pPr>
        <w:widowControl w:val="0"/>
        <w:tabs>
          <w:tab w:val="left" w:pos="994"/>
        </w:tabs>
        <w:ind w:firstLine="709"/>
        <w:jc w:val="both"/>
        <w:rPr>
          <w:sz w:val="28"/>
        </w:rPr>
      </w:pPr>
    </w:p>
    <w:p w:rsidR="002A72E8" w:rsidRDefault="00EB5F34">
      <w:pPr>
        <w:widowControl w:val="0"/>
      </w:pPr>
      <w:r>
        <w:rPr>
          <w:sz w:val="28"/>
        </w:rPr>
        <w:t>ПОСТАНОВЛЯЮ:</w:t>
      </w:r>
    </w:p>
    <w:p w:rsidR="002A72E8" w:rsidRDefault="002A72E8">
      <w:pPr>
        <w:widowControl w:val="0"/>
        <w:tabs>
          <w:tab w:val="left" w:pos="994"/>
        </w:tabs>
        <w:ind w:firstLine="709"/>
        <w:jc w:val="both"/>
        <w:rPr>
          <w:spacing w:val="-1"/>
          <w:sz w:val="28"/>
        </w:rPr>
      </w:pPr>
    </w:p>
    <w:p w:rsidR="002A72E8" w:rsidRDefault="00EB5F34">
      <w:pPr>
        <w:widowControl w:val="0"/>
        <w:tabs>
          <w:tab w:val="left" w:pos="994"/>
        </w:tabs>
        <w:ind w:firstLine="709"/>
        <w:jc w:val="both"/>
      </w:pPr>
      <w:r>
        <w:rPr>
          <w:spacing w:val="-1"/>
          <w:sz w:val="28"/>
        </w:rPr>
        <w:t xml:space="preserve">1. Утвердить Порядок проведения реинжиниринга процессов                                   в администрации города Ставрополя, отраслевых (функциональных)                                    и территориальных органах администрации города Ставрополя </w:t>
      </w:r>
      <w:r>
        <w:rPr>
          <w:spacing w:val="-1"/>
          <w:sz w:val="28"/>
          <w:highlight w:val="white"/>
        </w:rPr>
        <w:t>согласно приложению.</w:t>
      </w:r>
    </w:p>
    <w:p w:rsidR="002A72E8" w:rsidRDefault="00EB5F34">
      <w:pPr>
        <w:widowControl w:val="0"/>
        <w:tabs>
          <w:tab w:val="left" w:pos="994"/>
        </w:tabs>
        <w:ind w:firstLine="709"/>
        <w:jc w:val="both"/>
      </w:pPr>
      <w:r>
        <w:rPr>
          <w:spacing w:val="-1"/>
          <w:sz w:val="28"/>
        </w:rPr>
        <w:t>2.</w:t>
      </w:r>
      <w:r>
        <w:rPr>
          <w:spacing w:val="-1"/>
          <w:sz w:val="28"/>
          <w:highlight w:val="white"/>
        </w:rPr>
        <w:t xml:space="preserve"> Ответственному лицу </w:t>
      </w:r>
      <w:r>
        <w:rPr>
          <w:spacing w:val="-1"/>
          <w:sz w:val="28"/>
        </w:rPr>
        <w:t>за внедрение принципов и стандартов клиентоцентричности в администрации города Ставрополя, отраслевых (функциональных) и территориальных органах администрации города Ставрополя обеспечить реализацию мероприятий по реинжинирингу процессов.</w:t>
      </w:r>
    </w:p>
    <w:p w:rsidR="002A72E8" w:rsidRDefault="00EB5F34">
      <w:pPr>
        <w:widowControl w:val="0"/>
        <w:tabs>
          <w:tab w:val="left" w:pos="994"/>
        </w:tabs>
        <w:ind w:firstLine="709"/>
        <w:jc w:val="both"/>
      </w:pPr>
      <w:r>
        <w:rPr>
          <w:spacing w:val="-1"/>
          <w:sz w:val="28"/>
        </w:rPr>
        <w:t xml:space="preserve">3. Настоящее постановление вступает в силу со дня его подписания.                    </w:t>
      </w:r>
    </w:p>
    <w:p w:rsidR="002A72E8" w:rsidRDefault="00EB5F34">
      <w:pPr>
        <w:widowControl w:val="0"/>
        <w:tabs>
          <w:tab w:val="left" w:pos="994"/>
        </w:tabs>
        <w:ind w:firstLine="709"/>
        <w:jc w:val="both"/>
      </w:pPr>
      <w:r>
        <w:rPr>
          <w:spacing w:val="-1"/>
          <w:sz w:val="28"/>
        </w:rPr>
        <w:t xml:space="preserve">4. Контроль исполнения настоящего постановления возложить                        на </w:t>
      </w:r>
      <w:r>
        <w:rPr>
          <w:sz w:val="28"/>
        </w:rPr>
        <w:t>первого заместителя главы администрации города Ставрополя                     Белицу С.И.</w:t>
      </w:r>
    </w:p>
    <w:p w:rsidR="002A72E8" w:rsidRDefault="002A72E8">
      <w:pPr>
        <w:widowControl w:val="0"/>
        <w:spacing w:line="283" w:lineRule="exact"/>
        <w:rPr>
          <w:sz w:val="28"/>
        </w:rPr>
      </w:pPr>
    </w:p>
    <w:p w:rsidR="002A72E8" w:rsidRDefault="002A72E8">
      <w:pPr>
        <w:widowControl w:val="0"/>
        <w:spacing w:line="283" w:lineRule="exact"/>
        <w:rPr>
          <w:sz w:val="28"/>
        </w:rPr>
      </w:pPr>
    </w:p>
    <w:p w:rsidR="002A72E8" w:rsidRDefault="002A72E8">
      <w:pPr>
        <w:widowControl w:val="0"/>
        <w:spacing w:line="283" w:lineRule="exact"/>
        <w:rPr>
          <w:sz w:val="28"/>
        </w:rPr>
      </w:pPr>
    </w:p>
    <w:p w:rsidR="002A72E8" w:rsidRDefault="00EB5F34">
      <w:pPr>
        <w:widowControl w:val="0"/>
        <w:spacing w:line="283" w:lineRule="exact"/>
      </w:pPr>
      <w:r>
        <w:rPr>
          <w:sz w:val="28"/>
        </w:rPr>
        <w:t>Глава</w:t>
      </w:r>
      <w:r>
        <w:rPr>
          <w:spacing w:val="-2"/>
          <w:sz w:val="28"/>
        </w:rPr>
        <w:t xml:space="preserve"> города Ставрополя</w:t>
      </w:r>
      <w:r w:rsidR="00D65B72">
        <w:rPr>
          <w:spacing w:val="-2"/>
          <w:sz w:val="28"/>
        </w:rPr>
        <w:t xml:space="preserve">                                                               </w:t>
      </w:r>
      <w:r>
        <w:rPr>
          <w:spacing w:val="-3"/>
          <w:sz w:val="28"/>
        </w:rPr>
        <w:t>И.И. Ульянченко</w:t>
      </w:r>
    </w:p>
    <w:p w:rsidR="002A72E8" w:rsidRDefault="002A72E8"/>
    <w:p w:rsidR="002A72E8" w:rsidRDefault="002A72E8">
      <w:pPr>
        <w:sectPr w:rsidR="002A72E8">
          <w:pgSz w:w="11906" w:h="16838"/>
          <w:pgMar w:top="0" w:right="624" w:bottom="1247" w:left="1985" w:header="0" w:footer="0" w:gutter="0"/>
          <w:pgNumType w:start="1"/>
          <w:cols w:space="720"/>
        </w:sectPr>
      </w:pPr>
    </w:p>
    <w:p w:rsidR="002A72E8" w:rsidRDefault="00EB5F34">
      <w:pPr>
        <w:spacing w:line="240" w:lineRule="exact"/>
        <w:ind w:left="5103"/>
        <w:rPr>
          <w:color w:val="000000" w:themeColor="text1"/>
          <w:sz w:val="28"/>
          <w:highlight w:val="white"/>
        </w:rPr>
      </w:pPr>
      <w:r>
        <w:rPr>
          <w:color w:val="000000" w:themeColor="text1"/>
          <w:sz w:val="28"/>
          <w:highlight w:val="white"/>
        </w:rPr>
        <w:lastRenderedPageBreak/>
        <w:t>Приложение</w:t>
      </w:r>
    </w:p>
    <w:p w:rsidR="002A72E8" w:rsidRDefault="002A72E8">
      <w:pPr>
        <w:spacing w:line="240" w:lineRule="exact"/>
        <w:ind w:left="5103"/>
        <w:rPr>
          <w:color w:val="000000" w:themeColor="text1"/>
          <w:highlight w:val="white"/>
        </w:rPr>
      </w:pPr>
    </w:p>
    <w:p w:rsidR="002A72E8" w:rsidRDefault="00EB5F34">
      <w:pPr>
        <w:spacing w:line="240" w:lineRule="exact"/>
        <w:ind w:left="5103"/>
        <w:rPr>
          <w:color w:val="000000" w:themeColor="text1"/>
          <w:highlight w:val="white"/>
        </w:rPr>
      </w:pPr>
      <w:r>
        <w:rPr>
          <w:color w:val="000000" w:themeColor="text1"/>
          <w:sz w:val="28"/>
          <w:highlight w:val="white"/>
        </w:rPr>
        <w:t>к постановлению администрации</w:t>
      </w:r>
    </w:p>
    <w:p w:rsidR="002A72E8" w:rsidRDefault="00EB5F34">
      <w:pPr>
        <w:spacing w:line="240" w:lineRule="exact"/>
        <w:ind w:left="5103"/>
        <w:rPr>
          <w:color w:val="000000" w:themeColor="text1"/>
          <w:sz w:val="28"/>
          <w:highlight w:val="white"/>
        </w:rPr>
      </w:pPr>
      <w:r>
        <w:rPr>
          <w:color w:val="000000" w:themeColor="text1"/>
          <w:sz w:val="28"/>
          <w:highlight w:val="white"/>
        </w:rPr>
        <w:t>города Ставрополя</w:t>
      </w:r>
    </w:p>
    <w:p w:rsidR="002A72E8" w:rsidRDefault="002A72E8">
      <w:pPr>
        <w:spacing w:line="240" w:lineRule="exact"/>
        <w:ind w:left="5103"/>
        <w:rPr>
          <w:color w:val="000000" w:themeColor="text1"/>
          <w:highlight w:val="white"/>
        </w:rPr>
      </w:pPr>
    </w:p>
    <w:p w:rsidR="002A72E8" w:rsidRDefault="00EB5F34">
      <w:pPr>
        <w:spacing w:line="240" w:lineRule="exact"/>
        <w:ind w:left="5103"/>
        <w:rPr>
          <w:color w:val="000000" w:themeColor="text1"/>
          <w:highlight w:val="white"/>
        </w:rPr>
      </w:pPr>
      <w:r>
        <w:rPr>
          <w:color w:val="000000" w:themeColor="text1"/>
          <w:sz w:val="28"/>
          <w:highlight w:val="white"/>
        </w:rPr>
        <w:t>от 20.10.2025   № 2337</w:t>
      </w:r>
    </w:p>
    <w:p w:rsidR="002A72E8" w:rsidRDefault="002A72E8">
      <w:pPr>
        <w:spacing w:line="283" w:lineRule="exact"/>
        <w:jc w:val="center"/>
        <w:rPr>
          <w:color w:val="000000" w:themeColor="text1"/>
          <w:sz w:val="28"/>
        </w:rPr>
      </w:pPr>
    </w:p>
    <w:p w:rsidR="002A72E8" w:rsidRDefault="002A72E8">
      <w:pPr>
        <w:spacing w:line="283" w:lineRule="exact"/>
        <w:jc w:val="center"/>
        <w:rPr>
          <w:color w:val="000000" w:themeColor="text1"/>
          <w:sz w:val="28"/>
        </w:rPr>
      </w:pPr>
    </w:p>
    <w:p w:rsidR="002A72E8" w:rsidRDefault="00EB5F34">
      <w:pPr>
        <w:spacing w:line="283" w:lineRule="exact"/>
        <w:jc w:val="center"/>
        <w:rPr>
          <w:b/>
          <w:sz w:val="28"/>
        </w:rPr>
      </w:pPr>
      <w:r>
        <w:rPr>
          <w:color w:val="000000" w:themeColor="text1"/>
          <w:sz w:val="28"/>
        </w:rPr>
        <w:t>ПОРЯДОК</w:t>
      </w:r>
    </w:p>
    <w:p w:rsidR="002A72E8" w:rsidRDefault="00EB5F34">
      <w:pPr>
        <w:pStyle w:val="af"/>
        <w:spacing w:after="0" w:line="280" w:lineRule="exact"/>
        <w:ind w:left="0" w:right="0" w:firstLine="0"/>
        <w:rPr>
          <w:b/>
        </w:rPr>
      </w:pPr>
      <w:r>
        <w:t xml:space="preserve">проведения реинжиниринга процессов </w:t>
      </w:r>
      <w:r>
        <w:rPr>
          <w:color w:val="000000" w:themeColor="text1"/>
        </w:rPr>
        <w:t>в администрации города Ставрополя, отраслевых (функциональных) и территориальных органах администрации города Ставрополя</w:t>
      </w:r>
    </w:p>
    <w:p w:rsidR="002A72E8" w:rsidRDefault="002A72E8">
      <w:pPr>
        <w:pStyle w:val="af"/>
        <w:spacing w:after="0" w:line="283" w:lineRule="exact"/>
        <w:ind w:left="0" w:right="0" w:firstLine="0"/>
        <w:jc w:val="center"/>
        <w:rPr>
          <w:color w:val="000000" w:themeColor="text1"/>
        </w:rPr>
      </w:pPr>
    </w:p>
    <w:p w:rsidR="002A72E8" w:rsidRDefault="00EB5F34">
      <w:pPr>
        <w:pStyle w:val="af"/>
        <w:spacing w:after="0" w:line="283" w:lineRule="exact"/>
        <w:ind w:left="0" w:right="0" w:firstLine="0"/>
        <w:jc w:val="center"/>
        <w:rPr>
          <w:b/>
        </w:rPr>
      </w:pPr>
      <w:r>
        <w:t>Общие положения</w:t>
      </w:r>
    </w:p>
    <w:p w:rsidR="002A72E8" w:rsidRDefault="002A72E8">
      <w:pPr>
        <w:pStyle w:val="af"/>
        <w:spacing w:after="0" w:line="283" w:lineRule="exact"/>
        <w:ind w:left="0" w:right="0" w:firstLine="0"/>
        <w:jc w:val="center"/>
      </w:pPr>
    </w:p>
    <w:p w:rsidR="002A72E8" w:rsidRDefault="00EB5F34">
      <w:pPr>
        <w:pStyle w:val="af"/>
        <w:spacing w:after="0" w:line="240" w:lineRule="auto"/>
        <w:ind w:left="0" w:right="0" w:firstLine="709"/>
      </w:pPr>
      <w:r>
        <w:t xml:space="preserve">1. Настоящий Порядок проведения реинжиниринга процессов                        </w:t>
      </w:r>
      <w:r>
        <w:rPr>
          <w:color w:val="000000" w:themeColor="text1"/>
        </w:rPr>
        <w:t xml:space="preserve">в администрации города Ставрополя, отраслевых (функциональных)                       и территориальных органах администрации города Ставрополя (далее соответственно </w:t>
      </w:r>
      <w:r>
        <w:t xml:space="preserve">– </w:t>
      </w:r>
      <w:r>
        <w:rPr>
          <w:color w:val="000000" w:themeColor="text1"/>
        </w:rPr>
        <w:t xml:space="preserve">Порядок, администрация, органы администрации) </w:t>
      </w:r>
      <w:r>
        <w:t xml:space="preserve">определяет правила проведения реинжиниринга процессов в администрации, органах администрации и представляет собой описание этапов исследований и (при необходимости) изменения (перепроектирования) процессов, составляющих деятельность </w:t>
      </w:r>
      <w:r>
        <w:rPr>
          <w:highlight w:val="white"/>
        </w:rPr>
        <w:t>администрации, органов администрации,</w:t>
      </w:r>
      <w:r>
        <w:t xml:space="preserve"> в том числе в части предоставления государственных и муниципальных услуг, оказания мер государственной поддержки, работы с обращениями граждан и организаций, взаимодействия с внутренним клиентом (далее соответственно – реинжиниринг процессов, процессы, клиент). </w:t>
      </w:r>
    </w:p>
    <w:p w:rsidR="002A72E8" w:rsidRDefault="00EB5F34">
      <w:pPr>
        <w:pStyle w:val="af"/>
        <w:spacing w:after="0" w:line="240" w:lineRule="auto"/>
        <w:ind w:left="0" w:right="0" w:firstLine="709"/>
      </w:pPr>
      <w:r>
        <w:t>Полный перечень указанных процессов содержится в типовом перечне процессов, являющемся приложением к порядку ведения реестра межведомственных и внутриведомственных процессов в администрации города Ставрополя, отраслевых (функциональных) и территориальных органах администрации города Ставрополя, утвержденному постановлением администрации города Ставрополя от 18.07.2025 № 1518 «Об утверждении порядка ведения реестра межведомственных и внутриведомственных процессов в администрации города Ставрополя, отраслевых (функциональных) и территориальных органах администрации города Ставрополя» (далее – Реестр процессов).</w:t>
      </w:r>
    </w:p>
    <w:p w:rsidR="002A72E8" w:rsidRDefault="00EB5F34">
      <w:pPr>
        <w:pStyle w:val="af"/>
        <w:spacing w:after="0" w:line="240" w:lineRule="auto"/>
        <w:ind w:left="0" w:right="0" w:firstLine="709"/>
      </w:pPr>
      <w:r>
        <w:t xml:space="preserve">2. Целью проведения реинжиниринга процессов является  оптимизация  деятельности </w:t>
      </w:r>
      <w:r>
        <w:rPr>
          <w:highlight w:val="white"/>
        </w:rPr>
        <w:t xml:space="preserve">администрации, органов администрации для обеспечения соответствия требованиям стандартов клиентоцентричности.  </w:t>
      </w:r>
    </w:p>
    <w:p w:rsidR="002A72E8" w:rsidRDefault="00EB5F34">
      <w:pPr>
        <w:ind w:firstLine="709"/>
        <w:jc w:val="both"/>
        <w:rPr>
          <w:sz w:val="28"/>
        </w:rPr>
      </w:pPr>
      <w:r>
        <w:rPr>
          <w:sz w:val="28"/>
        </w:rPr>
        <w:t>3. Реинжиниринг процессов состоит из следующих этапов:</w:t>
      </w:r>
    </w:p>
    <w:p w:rsidR="002A72E8" w:rsidRDefault="00EB5F34">
      <w:pPr>
        <w:ind w:firstLine="709"/>
        <w:jc w:val="both"/>
        <w:rPr>
          <w:sz w:val="28"/>
        </w:rPr>
      </w:pPr>
      <w:r>
        <w:rPr>
          <w:sz w:val="28"/>
        </w:rPr>
        <w:t>1) исследование;</w:t>
      </w:r>
    </w:p>
    <w:p w:rsidR="002A72E8" w:rsidRDefault="00EB5F34">
      <w:pPr>
        <w:ind w:firstLine="709"/>
        <w:jc w:val="both"/>
        <w:rPr>
          <w:sz w:val="28"/>
        </w:rPr>
      </w:pPr>
      <w:r>
        <w:rPr>
          <w:sz w:val="28"/>
        </w:rPr>
        <w:t>2) проектирование;</w:t>
      </w:r>
    </w:p>
    <w:p w:rsidR="002A72E8" w:rsidRDefault="00EB5F34">
      <w:pPr>
        <w:ind w:firstLine="709"/>
        <w:jc w:val="both"/>
        <w:rPr>
          <w:sz w:val="28"/>
        </w:rPr>
      </w:pPr>
      <w:r>
        <w:rPr>
          <w:sz w:val="28"/>
        </w:rPr>
        <w:t xml:space="preserve">3) реализация. </w:t>
      </w:r>
    </w:p>
    <w:p w:rsidR="002A72E8" w:rsidRDefault="00EB5F34">
      <w:pPr>
        <w:ind w:firstLine="709"/>
        <w:jc w:val="both"/>
        <w:rPr>
          <w:sz w:val="28"/>
        </w:rPr>
      </w:pPr>
      <w:r>
        <w:rPr>
          <w:sz w:val="28"/>
        </w:rPr>
        <w:t>4.</w:t>
      </w:r>
      <w:r>
        <w:rPr>
          <w:sz w:val="28"/>
          <w:highlight w:val="white"/>
        </w:rPr>
        <w:t xml:space="preserve"> Мероприятия по реинжинирингу процессов осуществляются администрацией, органами администрации, в состав которых входит </w:t>
      </w:r>
      <w:r>
        <w:rPr>
          <w:sz w:val="28"/>
          <w:highlight w:val="white"/>
        </w:rPr>
        <w:lastRenderedPageBreak/>
        <w:t xml:space="preserve">ответственное лицо, указанное в Реестре процессов (далее – ответственный </w:t>
      </w:r>
      <w:r>
        <w:rPr>
          <w:sz w:val="28"/>
          <w:highlight w:val="white"/>
        </w:rPr>
        <w:br/>
        <w:t>за процесс).</w:t>
      </w:r>
    </w:p>
    <w:p w:rsidR="002A72E8" w:rsidRDefault="00EB5F34">
      <w:pPr>
        <w:ind w:firstLine="709"/>
        <w:jc w:val="both"/>
        <w:rPr>
          <w:sz w:val="28"/>
        </w:rPr>
      </w:pPr>
      <w:r>
        <w:rPr>
          <w:sz w:val="28"/>
        </w:rPr>
        <w:t>5. Основаниями для проведения реинжиниринга процесса могут быть:</w:t>
      </w:r>
    </w:p>
    <w:p w:rsidR="002A72E8" w:rsidRDefault="00EB5F34">
      <w:pPr>
        <w:ind w:firstLine="709"/>
        <w:jc w:val="both"/>
        <w:rPr>
          <w:sz w:val="28"/>
        </w:rPr>
      </w:pPr>
      <w:r>
        <w:rPr>
          <w:sz w:val="28"/>
        </w:rPr>
        <w:t>1) поручение главы города Ставрополя, руководителей органов администрации;</w:t>
      </w:r>
    </w:p>
    <w:p w:rsidR="002A72E8" w:rsidRDefault="00EB5F34">
      <w:pPr>
        <w:ind w:firstLine="709"/>
        <w:jc w:val="both"/>
        <w:rPr>
          <w:sz w:val="28"/>
        </w:rPr>
      </w:pPr>
      <w:r>
        <w:rPr>
          <w:sz w:val="28"/>
        </w:rPr>
        <w:t>2) устойчивое снижение в течение более трех месяцев подряд уровня удовлетворенности клиентов процессом;</w:t>
      </w:r>
    </w:p>
    <w:p w:rsidR="002A72E8" w:rsidRDefault="00EB5F34">
      <w:pPr>
        <w:ind w:firstLine="709"/>
        <w:jc w:val="both"/>
        <w:rPr>
          <w:sz w:val="28"/>
        </w:rPr>
      </w:pPr>
      <w:r>
        <w:rPr>
          <w:sz w:val="28"/>
        </w:rPr>
        <w:t>3) наступление срока для пересмотра процесса.</w:t>
      </w:r>
    </w:p>
    <w:p w:rsidR="002A72E8" w:rsidRDefault="002A72E8">
      <w:pPr>
        <w:jc w:val="center"/>
        <w:rPr>
          <w:sz w:val="28"/>
        </w:rPr>
      </w:pPr>
    </w:p>
    <w:p w:rsidR="002A72E8" w:rsidRDefault="00EB5F34">
      <w:pPr>
        <w:jc w:val="center"/>
        <w:rPr>
          <w:sz w:val="28"/>
        </w:rPr>
      </w:pPr>
      <w:r>
        <w:rPr>
          <w:sz w:val="28"/>
        </w:rPr>
        <w:t>Проведение исследований в целях реинжиниринга процессов</w:t>
      </w:r>
    </w:p>
    <w:p w:rsidR="002A72E8" w:rsidRDefault="002A72E8">
      <w:pPr>
        <w:ind w:firstLine="709"/>
        <w:jc w:val="center"/>
        <w:rPr>
          <w:sz w:val="28"/>
        </w:rPr>
      </w:pPr>
    </w:p>
    <w:p w:rsidR="002A72E8" w:rsidRDefault="00EB5F34">
      <w:pPr>
        <w:ind w:firstLine="709"/>
        <w:jc w:val="both"/>
        <w:rPr>
          <w:sz w:val="28"/>
        </w:rPr>
      </w:pPr>
      <w:r>
        <w:rPr>
          <w:sz w:val="28"/>
        </w:rPr>
        <w:t xml:space="preserve">6. В течение 3 рабочих дней после возникновения оснований                        для проведения реинжиниринга процесса ответственный за процесс формирует либо (в случае, если он был сформирован ранее) актуализирует ранее сформированный перечень точек взаимодействия с клиентом в рамках исследуемого процесса в соответствии с Методическими рекомендациями        по формированию перечня точек взаимодействия с клиентом и разработке порядка по взаимодействию с клиентом в точках взаимодействия, одобренными протоколом заседания межведомственной рабочей группы                 по внедрению клиентоцентричности в государственное управление                            от 6 июля 2023 г. № 66-АХ, а также формирует в отношении исследуемого процесса либо актуализирует ранее сформированный профиль клиентского сегмента на основании имеющихся данных о клиентах за два года, предшествующих дню начала исследования. </w:t>
      </w:r>
    </w:p>
    <w:p w:rsidR="002A72E8" w:rsidRDefault="00EB5F34">
      <w:pPr>
        <w:ind w:firstLine="709"/>
        <w:jc w:val="both"/>
        <w:rPr>
          <w:sz w:val="28"/>
        </w:rPr>
      </w:pPr>
      <w:r>
        <w:rPr>
          <w:sz w:val="28"/>
        </w:rPr>
        <w:t>В случае, если в течение 2 лет, предшествующих проведению исследования, процесс не осуществлялся, то профиль клиентского сегмента формируется на основании гипотез о потенциальном клиенте, в интересах которого осуществляется процесс.</w:t>
      </w:r>
    </w:p>
    <w:p w:rsidR="002A72E8" w:rsidRDefault="00EB5F34">
      <w:pPr>
        <w:ind w:firstLine="709"/>
        <w:jc w:val="both"/>
        <w:rPr>
          <w:sz w:val="28"/>
        </w:rPr>
      </w:pPr>
      <w:r>
        <w:rPr>
          <w:sz w:val="28"/>
        </w:rPr>
        <w:t>Профиль клиентского сегмента готовится в формате Excel и содержит сведения об основных признаках для проведения сегментации, особенностях клиентского пути и предпочтительных каналах взаимодействия с клиентами.</w:t>
      </w:r>
    </w:p>
    <w:p w:rsidR="002A72E8" w:rsidRDefault="00EB5F34">
      <w:pPr>
        <w:ind w:firstLine="709"/>
        <w:jc w:val="both"/>
        <w:rPr>
          <w:sz w:val="28"/>
        </w:rPr>
      </w:pPr>
      <w:r>
        <w:rPr>
          <w:sz w:val="28"/>
        </w:rPr>
        <w:t xml:space="preserve">7. Ответственный за процесс в течение 5 рабочих дней после возникновения оснований для проведения реинжиниринга процесса формирует текстовое описание и блок-схему осуществления процесса                     на текущий момент согласно нормативным правовым актам Российской Федерации, Ставропольского края и муниципальным правовым актам города Ставрополя, а также текстовое описание и блок-схему фактического осуществления процесса с указанием их различий. </w:t>
      </w:r>
    </w:p>
    <w:p w:rsidR="002A72E8" w:rsidRDefault="00EB5F34">
      <w:pPr>
        <w:ind w:firstLine="709"/>
        <w:jc w:val="both"/>
        <w:rPr>
          <w:sz w:val="28"/>
        </w:rPr>
      </w:pPr>
      <w:r>
        <w:rPr>
          <w:sz w:val="28"/>
        </w:rPr>
        <w:t xml:space="preserve">При необходимости к формированию описания и блок-схемы фактического осуществления процесса могут привлекаться клиенты                           и исполнители по процессу. </w:t>
      </w:r>
    </w:p>
    <w:p w:rsidR="002A72E8" w:rsidRDefault="00EB5F34">
      <w:pPr>
        <w:ind w:firstLine="709"/>
        <w:jc w:val="both"/>
        <w:rPr>
          <w:sz w:val="28"/>
        </w:rPr>
      </w:pPr>
      <w:r>
        <w:rPr>
          <w:sz w:val="28"/>
        </w:rPr>
        <w:t>8. В течение 10 рабочих дней после формирования профиля клиентского сегмента проводится опрос клиентов и исполнителей                           об их опыте участия в процессе.</w:t>
      </w:r>
    </w:p>
    <w:p w:rsidR="002A72E8" w:rsidRDefault="00EB5F34">
      <w:pPr>
        <w:ind w:firstLine="709"/>
        <w:jc w:val="both"/>
        <w:rPr>
          <w:sz w:val="28"/>
        </w:rPr>
      </w:pPr>
      <w:r>
        <w:rPr>
          <w:sz w:val="28"/>
        </w:rPr>
        <w:lastRenderedPageBreak/>
        <w:t>Опрос должен быть направлен:</w:t>
      </w:r>
    </w:p>
    <w:p w:rsidR="002A72E8" w:rsidRDefault="00EB5F34">
      <w:pPr>
        <w:ind w:firstLine="709"/>
        <w:jc w:val="both"/>
        <w:rPr>
          <w:sz w:val="28"/>
        </w:rPr>
      </w:pPr>
      <w:r>
        <w:rPr>
          <w:sz w:val="28"/>
        </w:rPr>
        <w:t>1) на оценку удовлетворенности процессом;</w:t>
      </w:r>
    </w:p>
    <w:p w:rsidR="002A72E8" w:rsidRDefault="00EB5F34">
      <w:pPr>
        <w:ind w:firstLine="709"/>
        <w:jc w:val="both"/>
        <w:rPr>
          <w:sz w:val="28"/>
        </w:rPr>
      </w:pPr>
      <w:r>
        <w:rPr>
          <w:sz w:val="28"/>
        </w:rPr>
        <w:t>2) на выявление сложностей, с которыми столкнулись клиенты                                и исполнители в рамках осуществления процесса, с указанием этапа,                      на котором эти сложности были выявлены, и их критичности;</w:t>
      </w:r>
    </w:p>
    <w:p w:rsidR="002A72E8" w:rsidRDefault="00EB5F34">
      <w:pPr>
        <w:ind w:firstLine="709"/>
        <w:jc w:val="both"/>
        <w:rPr>
          <w:sz w:val="28"/>
        </w:rPr>
      </w:pPr>
      <w:r>
        <w:rPr>
          <w:sz w:val="28"/>
        </w:rPr>
        <w:t>3) на формирование ожиданий клиентов от взаимодействия на каждом этапе осуществления процесса;</w:t>
      </w:r>
    </w:p>
    <w:p w:rsidR="002A72E8" w:rsidRDefault="00EB5F34">
      <w:pPr>
        <w:ind w:firstLine="709"/>
        <w:jc w:val="both"/>
        <w:rPr>
          <w:sz w:val="28"/>
        </w:rPr>
      </w:pPr>
      <w:r>
        <w:rPr>
          <w:sz w:val="28"/>
        </w:rPr>
        <w:t>4) на формирование лучших практик осуществления процессов.</w:t>
      </w:r>
    </w:p>
    <w:p w:rsidR="002A72E8" w:rsidRDefault="00EB5F34">
      <w:pPr>
        <w:ind w:firstLine="709"/>
        <w:jc w:val="both"/>
        <w:rPr>
          <w:sz w:val="28"/>
        </w:rPr>
      </w:pPr>
      <w:r>
        <w:rPr>
          <w:sz w:val="28"/>
        </w:rPr>
        <w:t>9. На основании информации, полученной в результате опроса,                          в течение 2 рабочих дней формируется перечень сложностей, выявленных клиентами на каждом этапе осуществления процесса, с указанием                            их критичности, потребностей клиентов на каждом этапе взаимодействия,                   а также формируется перечень лучших практик в рамках осуществления процесса.</w:t>
      </w:r>
    </w:p>
    <w:p w:rsidR="002A72E8" w:rsidRDefault="00EB5F34">
      <w:pPr>
        <w:ind w:firstLine="709"/>
        <w:jc w:val="both"/>
        <w:rPr>
          <w:sz w:val="28"/>
        </w:rPr>
      </w:pPr>
      <w:r>
        <w:rPr>
          <w:sz w:val="28"/>
        </w:rPr>
        <w:t xml:space="preserve">10. В течение 12 рабочих дней после формирования профиля клиентского сегмента ответственный за процесс проводит анализ процесса на соответствие требованиям Стандартов «Государство для людей», «Государство для бизнеса», утвержденных протоколом заочного голосования членов проектного комитета федерального проекта «Клиентоцентричность» от 18 апреля 2022 г. № 1, Стандарта для внутреннего клиента, одобренного протоколом заседания межведомственной рабочей группы по внедрению клиентоцентричности в государственное управление от 15 декабря 2023 г. № 142-АХ (далее – Стандарты клиентоцентричности), и формирует перечень требований Стандартов клиентоцентричности, которые не соблюдаются в процессе. </w:t>
      </w:r>
    </w:p>
    <w:p w:rsidR="002A72E8" w:rsidRDefault="00EB5F34">
      <w:pPr>
        <w:ind w:firstLine="709"/>
        <w:jc w:val="both"/>
        <w:rPr>
          <w:sz w:val="28"/>
        </w:rPr>
      </w:pPr>
      <w:r>
        <w:rPr>
          <w:sz w:val="28"/>
        </w:rPr>
        <w:t>11. В течение 5 рабочих дней после завершения опроса и анализа                   на соответствие требованиям Стандартов клиентоцентричности ответственный за процесс рассматривает сформированные в ходе исследования документы и по итогам рассмотрения формирует заключение, содержащее одно из следующих предложений:</w:t>
      </w:r>
    </w:p>
    <w:p w:rsidR="002A72E8" w:rsidRDefault="00EB5F34">
      <w:pPr>
        <w:ind w:firstLine="709"/>
        <w:jc w:val="both"/>
        <w:rPr>
          <w:sz w:val="28"/>
        </w:rPr>
      </w:pPr>
      <w:r>
        <w:rPr>
          <w:sz w:val="28"/>
        </w:rPr>
        <w:t>1) о необходимости изменения процесса;</w:t>
      </w:r>
    </w:p>
    <w:p w:rsidR="002A72E8" w:rsidRDefault="00EB5F34">
      <w:pPr>
        <w:ind w:firstLine="709"/>
        <w:jc w:val="both"/>
        <w:rPr>
          <w:sz w:val="28"/>
        </w:rPr>
      </w:pPr>
      <w:r>
        <w:rPr>
          <w:sz w:val="28"/>
        </w:rPr>
        <w:t>2) об отсутствии необходимости изменения процесса;</w:t>
      </w:r>
    </w:p>
    <w:p w:rsidR="002A72E8" w:rsidRDefault="00EB5F34">
      <w:pPr>
        <w:ind w:firstLine="709"/>
        <w:jc w:val="both"/>
        <w:rPr>
          <w:sz w:val="28"/>
        </w:rPr>
      </w:pPr>
      <w:r>
        <w:rPr>
          <w:sz w:val="28"/>
        </w:rPr>
        <w:t xml:space="preserve">3) о необходимости исключения процесса из Реестра процессов. </w:t>
      </w:r>
    </w:p>
    <w:p w:rsidR="002A72E8" w:rsidRDefault="00EB5F34">
      <w:pPr>
        <w:ind w:firstLine="709"/>
        <w:jc w:val="both"/>
        <w:rPr>
          <w:sz w:val="28"/>
        </w:rPr>
      </w:pPr>
      <w:r>
        <w:rPr>
          <w:sz w:val="28"/>
        </w:rPr>
        <w:t>12. Заключение ответственного за процесс вместе с документами передается руководителю администрации, органа администрации, ответственного за внедрение клиентоцентричности (далее – ответственный за клиентоцентричность), который в течение 3 рабочих дней принимает одно из решений, указанных в подпунктах 1 – 3 пункта 11 настоящего Порядка, и доводит его до ответственного за процесс.</w:t>
      </w:r>
    </w:p>
    <w:p w:rsidR="002A72E8" w:rsidRDefault="00EB5F34">
      <w:pPr>
        <w:ind w:firstLine="709"/>
        <w:jc w:val="both"/>
        <w:rPr>
          <w:sz w:val="28"/>
        </w:rPr>
      </w:pPr>
      <w:r>
        <w:rPr>
          <w:sz w:val="28"/>
        </w:rPr>
        <w:t>13. В случае принятия решения, указанного в подпункте 1 пункта 11 настоящего Порядка, ответственным за процесс выполняются действия, предусмотренные пунктом 14 настоящего Порядка.</w:t>
      </w:r>
    </w:p>
    <w:p w:rsidR="002A72E8" w:rsidRDefault="00EB5F34">
      <w:pPr>
        <w:ind w:firstLine="709"/>
        <w:jc w:val="both"/>
        <w:rPr>
          <w:sz w:val="28"/>
        </w:rPr>
      </w:pPr>
      <w:r>
        <w:rPr>
          <w:sz w:val="28"/>
        </w:rPr>
        <w:t xml:space="preserve">В случае принятия решения, указанного в подпункте 2 или подпункте 3 пункта 11 настоящего Порядка, проведение реинжиниринга процесса </w:t>
      </w:r>
      <w:r>
        <w:rPr>
          <w:sz w:val="28"/>
        </w:rPr>
        <w:lastRenderedPageBreak/>
        <w:t>завершается, при этом в случае принятия решения о необходимости исключения процесса из Реестра процессов ответственным за процесс выполняются соответствующие действия, предусмотренные порядком ведения реестра межведомственных и внутриведомственных процессов в администрации города Ставрополя, отраслевых (функциональных)                             и территориальных органах администрации города Ставрополя, утвержденным постановлением администрации города Ставрополя от 18.07.2025 № 1518 «Об утверждении порядка ведения реестра межведомственных и внутриведомственных процессов в администрации города Ставрополя, отраслевых (функциональных) и территориальных органах администрации города Ставрополя».</w:t>
      </w:r>
    </w:p>
    <w:p w:rsidR="002A72E8" w:rsidRDefault="002A72E8">
      <w:pPr>
        <w:jc w:val="center"/>
        <w:rPr>
          <w:sz w:val="28"/>
        </w:rPr>
      </w:pPr>
    </w:p>
    <w:p w:rsidR="002A72E8" w:rsidRDefault="00EB5F34">
      <w:pPr>
        <w:jc w:val="center"/>
        <w:rPr>
          <w:sz w:val="28"/>
        </w:rPr>
      </w:pPr>
      <w:r>
        <w:rPr>
          <w:sz w:val="28"/>
        </w:rPr>
        <w:t>Этап проектирования в целях реинжиниринга процессов</w:t>
      </w:r>
    </w:p>
    <w:p w:rsidR="002A72E8" w:rsidRDefault="002A72E8">
      <w:pPr>
        <w:jc w:val="center"/>
        <w:rPr>
          <w:sz w:val="28"/>
        </w:rPr>
      </w:pPr>
    </w:p>
    <w:p w:rsidR="002A72E8" w:rsidRDefault="00EB5F34">
      <w:pPr>
        <w:ind w:firstLine="709"/>
        <w:jc w:val="both"/>
        <w:rPr>
          <w:sz w:val="28"/>
        </w:rPr>
      </w:pPr>
      <w:r>
        <w:rPr>
          <w:sz w:val="28"/>
        </w:rPr>
        <w:t>14. В случае принятия решения, указанного в подпункте 1 пункта 11 настоящего Порядка, ответственный за процесс в течение 5 рабочих дней после принятия решения разрабатывает:</w:t>
      </w:r>
    </w:p>
    <w:p w:rsidR="002A72E8" w:rsidRDefault="00EB5F34">
      <w:pPr>
        <w:ind w:firstLine="709"/>
        <w:jc w:val="both"/>
        <w:rPr>
          <w:sz w:val="28"/>
        </w:rPr>
      </w:pPr>
      <w:r>
        <w:rPr>
          <w:sz w:val="28"/>
        </w:rPr>
        <w:t>1) текстовое описание целевого порядка осуществления процесса (целевую модель процесса) с учетом целесообразности, наличия возможностей, стремления к решению наибольшего количества выявленных проблем и повышения эффективности процесса, в том числе                                 с использованием наиболее эффективных решений, реализованных в других процессах;</w:t>
      </w:r>
    </w:p>
    <w:p w:rsidR="002A72E8" w:rsidRDefault="00EB5F34">
      <w:pPr>
        <w:ind w:firstLine="709"/>
        <w:jc w:val="both"/>
        <w:rPr>
          <w:sz w:val="28"/>
        </w:rPr>
      </w:pPr>
      <w:r>
        <w:rPr>
          <w:sz w:val="28"/>
        </w:rPr>
        <w:t>2) блок-схему целевого порядка осуществления процесса;</w:t>
      </w:r>
    </w:p>
    <w:p w:rsidR="002A72E8" w:rsidRDefault="00EB5F34">
      <w:pPr>
        <w:ind w:firstLine="709"/>
        <w:jc w:val="both"/>
        <w:rPr>
          <w:sz w:val="28"/>
        </w:rPr>
      </w:pPr>
      <w:r>
        <w:rPr>
          <w:sz w:val="28"/>
        </w:rPr>
        <w:t xml:space="preserve">3) описание нормативных правовых барьеров, препятствующих реализации целевого порядка осуществления процесса, представляющее собой перечень положений нормативных правовых актов, которые прямо противоречат целевому порядку осуществления процесса, а также перечень нормативных правовых актов, отсутствие в которых необходимых </w:t>
      </w:r>
      <w:r>
        <w:rPr>
          <w:sz w:val="28"/>
        </w:rPr>
        <w:br/>
        <w:t xml:space="preserve">положений не позволяет реализовать целевой порядок осуществления процесса; </w:t>
      </w:r>
    </w:p>
    <w:p w:rsidR="002A72E8" w:rsidRDefault="00EB5F34">
      <w:pPr>
        <w:ind w:firstLine="709"/>
        <w:jc w:val="both"/>
        <w:rPr>
          <w:sz w:val="28"/>
        </w:rPr>
      </w:pPr>
      <w:r>
        <w:rPr>
          <w:sz w:val="28"/>
        </w:rPr>
        <w:t>4) порядок взаимодействия с клиентом в точках взаимодействия.</w:t>
      </w:r>
    </w:p>
    <w:p w:rsidR="002A72E8" w:rsidRDefault="00EB5F34">
      <w:pPr>
        <w:ind w:firstLine="709"/>
        <w:jc w:val="both"/>
        <w:rPr>
          <w:sz w:val="28"/>
        </w:rPr>
      </w:pPr>
      <w:r>
        <w:rPr>
          <w:sz w:val="28"/>
        </w:rPr>
        <w:t>15. Ответственный за процесс в течение 5 рабочих дней рассматривает поступившие документы и по итогам рассмотрения формирует заключение, содержащее одно из следующих предложений:</w:t>
      </w:r>
    </w:p>
    <w:p w:rsidR="002A72E8" w:rsidRDefault="00EB5F34">
      <w:pPr>
        <w:ind w:firstLine="709"/>
        <w:jc w:val="both"/>
        <w:rPr>
          <w:sz w:val="28"/>
        </w:rPr>
      </w:pPr>
      <w:r>
        <w:rPr>
          <w:sz w:val="28"/>
        </w:rPr>
        <w:t>1) о согласовании целевого порядка осуществления процесса;</w:t>
      </w:r>
    </w:p>
    <w:p w:rsidR="002A72E8" w:rsidRDefault="00EB5F34">
      <w:pPr>
        <w:ind w:firstLine="709"/>
        <w:jc w:val="both"/>
        <w:rPr>
          <w:sz w:val="28"/>
        </w:rPr>
      </w:pPr>
      <w:r>
        <w:rPr>
          <w:sz w:val="28"/>
        </w:rPr>
        <w:t xml:space="preserve">2) о направлении целевого порядка осуществления процесса                            на доработку. </w:t>
      </w:r>
    </w:p>
    <w:p w:rsidR="002A72E8" w:rsidRDefault="00EB5F34">
      <w:pPr>
        <w:ind w:firstLine="709"/>
        <w:jc w:val="both"/>
        <w:rPr>
          <w:sz w:val="28"/>
        </w:rPr>
      </w:pPr>
      <w:r>
        <w:rPr>
          <w:sz w:val="28"/>
        </w:rPr>
        <w:t xml:space="preserve">16. Заключение ответственного за процесс вместе с документами передается ответственному за клиентоцентричность, который в течение                      3 рабочих дней принимает одно из решений, указанных в подпунктах                      1, 2 пункта 15 настоящего Порядка, и доводит его до ответственного  за процесс. </w:t>
      </w:r>
    </w:p>
    <w:p w:rsidR="002A72E8" w:rsidRDefault="00EB5F34">
      <w:pPr>
        <w:ind w:firstLine="709"/>
        <w:jc w:val="both"/>
        <w:rPr>
          <w:sz w:val="28"/>
        </w:rPr>
      </w:pPr>
      <w:r>
        <w:rPr>
          <w:sz w:val="28"/>
        </w:rPr>
        <w:lastRenderedPageBreak/>
        <w:t>17. В случае принятия решения, указанного в подпункте 2 пункта 15 настоящего Порядка, ответственный за процесс обеспечивает доработку целевого порядка осуществления процесса и описания нормативно-правовых барьеров в трехдневный срок и повторно передает их на рассмотрение ответственному за клиентоцентричность.</w:t>
      </w:r>
    </w:p>
    <w:p w:rsidR="002A72E8" w:rsidRDefault="00EB5F34">
      <w:pPr>
        <w:ind w:firstLine="709"/>
        <w:jc w:val="both"/>
        <w:rPr>
          <w:sz w:val="28"/>
        </w:rPr>
      </w:pPr>
      <w:r>
        <w:rPr>
          <w:sz w:val="28"/>
        </w:rPr>
        <w:t>В случае принятия решения, указанного в подпункте 1 пункта 15 настоящего Порядка, ответственный за процесс в течение 5 рабочих дней формирует план мероприятий по реализации целевого порядка осуществления процесса (далее – план мероприятий) по форме согласно приложению к Порядку.</w:t>
      </w:r>
    </w:p>
    <w:p w:rsidR="002A72E8" w:rsidRDefault="00EB5F34">
      <w:pPr>
        <w:ind w:firstLine="709"/>
        <w:jc w:val="both"/>
        <w:rPr>
          <w:sz w:val="28"/>
        </w:rPr>
      </w:pPr>
      <w:r>
        <w:rPr>
          <w:sz w:val="28"/>
        </w:rPr>
        <w:t xml:space="preserve">18. В случае, если целевой порядок осуществления процесса предполагает использование ранее созданных, измененных по итогам реинжиниринга или сформированных в результате реинжиниринга цифровых сервисов, и создание таких сервисов находится в компетенции </w:t>
      </w:r>
      <w:r>
        <w:rPr>
          <w:sz w:val="28"/>
          <w:highlight w:val="white"/>
        </w:rPr>
        <w:t xml:space="preserve">администрации, органов администрации, то план мероприятий должен содержать следующие мероприятия: </w:t>
      </w:r>
    </w:p>
    <w:p w:rsidR="002A72E8" w:rsidRDefault="00EB5F34">
      <w:pPr>
        <w:ind w:firstLine="709"/>
        <w:jc w:val="both"/>
        <w:rPr>
          <w:sz w:val="28"/>
        </w:rPr>
      </w:pPr>
      <w:r>
        <w:rPr>
          <w:sz w:val="28"/>
        </w:rPr>
        <w:t xml:space="preserve">1) разработка верхнеуровневого прототипа сервиса в виде </w:t>
      </w:r>
      <w:r>
        <w:rPr>
          <w:sz w:val="28"/>
        </w:rPr>
        <w:br/>
        <w:t>схематичного изображения экранов цифрового сервиса с указанием логики перехода между ними;</w:t>
      </w:r>
    </w:p>
    <w:p w:rsidR="002A72E8" w:rsidRDefault="00EB5F34">
      <w:pPr>
        <w:ind w:firstLine="709"/>
        <w:jc w:val="both"/>
        <w:rPr>
          <w:sz w:val="28"/>
        </w:rPr>
      </w:pPr>
      <w:r>
        <w:rPr>
          <w:sz w:val="28"/>
        </w:rPr>
        <w:t>2) тестирование верхнеуровневого прототипа сервиса                                      на представителях клиентского сегмента;</w:t>
      </w:r>
    </w:p>
    <w:p w:rsidR="002A72E8" w:rsidRDefault="00EB5F34">
      <w:pPr>
        <w:ind w:firstLine="709"/>
        <w:jc w:val="both"/>
        <w:rPr>
          <w:sz w:val="28"/>
        </w:rPr>
      </w:pPr>
      <w:r>
        <w:rPr>
          <w:sz w:val="28"/>
        </w:rPr>
        <w:t>3) доработка верхнеуровневого прототипа на основании полученной обратной связи по результатам тестирования верхнеуровнего прототипа сервиса (при необходимости);</w:t>
      </w:r>
    </w:p>
    <w:p w:rsidR="002A72E8" w:rsidRDefault="00EB5F34">
      <w:pPr>
        <w:ind w:firstLine="709"/>
        <w:jc w:val="both"/>
        <w:rPr>
          <w:sz w:val="28"/>
        </w:rPr>
      </w:pPr>
      <w:r>
        <w:rPr>
          <w:sz w:val="28"/>
        </w:rPr>
        <w:t>4) разработка детализированного прототипа сервиса в формате интерактивных экранов без подключения к базам данных;</w:t>
      </w:r>
    </w:p>
    <w:p w:rsidR="002A72E8" w:rsidRDefault="00EB5F34">
      <w:pPr>
        <w:ind w:firstLine="709"/>
        <w:jc w:val="both"/>
        <w:rPr>
          <w:sz w:val="28"/>
        </w:rPr>
      </w:pPr>
      <w:r>
        <w:rPr>
          <w:sz w:val="28"/>
        </w:rPr>
        <w:t>5) тестирование детализированного прототипа сервиса                                     на представителях клиентского сегмента;</w:t>
      </w:r>
    </w:p>
    <w:p w:rsidR="002A72E8" w:rsidRDefault="00EB5F34">
      <w:pPr>
        <w:ind w:firstLine="709"/>
        <w:jc w:val="both"/>
        <w:rPr>
          <w:sz w:val="28"/>
        </w:rPr>
      </w:pPr>
      <w:r>
        <w:rPr>
          <w:sz w:val="28"/>
        </w:rPr>
        <w:t xml:space="preserve">6) доработка детализированного прототипа на основании полученной обратной связи по результатам тестирования детализированного прототипа сервиса (при необходимости). </w:t>
      </w:r>
    </w:p>
    <w:p w:rsidR="002A72E8" w:rsidRDefault="00EB5F34">
      <w:pPr>
        <w:ind w:firstLine="709"/>
        <w:jc w:val="both"/>
        <w:rPr>
          <w:sz w:val="28"/>
        </w:rPr>
      </w:pPr>
      <w:r>
        <w:rPr>
          <w:sz w:val="28"/>
        </w:rPr>
        <w:t>19. Ответственный за процесс в течение 5 рабочих дней рассматривает план мероприятий и по итогам рассмотрения формирует заключение, содержащее одно из следующих предложений:</w:t>
      </w:r>
    </w:p>
    <w:p w:rsidR="002A72E8" w:rsidRDefault="00EB5F34">
      <w:pPr>
        <w:ind w:firstLine="709"/>
        <w:jc w:val="both"/>
        <w:rPr>
          <w:sz w:val="28"/>
        </w:rPr>
      </w:pPr>
      <w:r>
        <w:rPr>
          <w:sz w:val="28"/>
        </w:rPr>
        <w:t>1) об утверждении плана мероприятий;</w:t>
      </w:r>
    </w:p>
    <w:p w:rsidR="002A72E8" w:rsidRDefault="00EB5F34">
      <w:pPr>
        <w:ind w:firstLine="709"/>
        <w:jc w:val="both"/>
        <w:rPr>
          <w:sz w:val="28"/>
        </w:rPr>
      </w:pPr>
      <w:r>
        <w:rPr>
          <w:sz w:val="28"/>
        </w:rPr>
        <w:t>2) о направлении плана мероприятий на доработку.</w:t>
      </w:r>
    </w:p>
    <w:p w:rsidR="002A72E8" w:rsidRDefault="00EB5F34">
      <w:pPr>
        <w:ind w:firstLine="709"/>
        <w:jc w:val="both"/>
        <w:rPr>
          <w:sz w:val="28"/>
        </w:rPr>
      </w:pPr>
      <w:r>
        <w:rPr>
          <w:sz w:val="28"/>
        </w:rPr>
        <w:t>20. Заключение вместе с планом мероприятий передается ответственному за клиентоцентричность, который в течение 3 рабочих дней принимает одно из решений, указанных в подпунктах 1, 2 пункта 19 настоящего Порядка, и доводит его до ответственного за процесс.</w:t>
      </w:r>
    </w:p>
    <w:p w:rsidR="002A72E8" w:rsidRDefault="00EB5F34">
      <w:pPr>
        <w:ind w:firstLine="709"/>
        <w:jc w:val="both"/>
        <w:rPr>
          <w:sz w:val="28"/>
        </w:rPr>
      </w:pPr>
      <w:r>
        <w:rPr>
          <w:sz w:val="28"/>
        </w:rPr>
        <w:t>21. В случае принятия решения, указанного в подпункте 2</w:t>
      </w:r>
      <w:r>
        <w:rPr>
          <w:sz w:val="28"/>
          <w:highlight w:val="white"/>
        </w:rPr>
        <w:t xml:space="preserve"> пункта 19</w:t>
      </w:r>
      <w:r>
        <w:rPr>
          <w:sz w:val="28"/>
        </w:rPr>
        <w:t>настоящего Порядка</w:t>
      </w:r>
      <w:r>
        <w:rPr>
          <w:sz w:val="28"/>
          <w:highlight w:val="white"/>
        </w:rPr>
        <w:t>,</w:t>
      </w:r>
      <w:r>
        <w:rPr>
          <w:sz w:val="28"/>
        </w:rPr>
        <w:t xml:space="preserve"> ответственный за процесс осуществляет доработку плана мероприятий в трехдневный срок и повторно передает  его на рассмотрение ответственному за клиентоцентричность.</w:t>
      </w:r>
    </w:p>
    <w:p w:rsidR="002A72E8" w:rsidRDefault="00EB5F34">
      <w:pPr>
        <w:ind w:firstLine="709"/>
        <w:jc w:val="both"/>
        <w:rPr>
          <w:sz w:val="28"/>
        </w:rPr>
      </w:pPr>
      <w:r>
        <w:rPr>
          <w:sz w:val="28"/>
        </w:rPr>
        <w:lastRenderedPageBreak/>
        <w:t>В случае принятия решения, указанного в подпункте 1 пункта 19 настоящего Порядка, план мероприятий утверждается и направляется всем исполнителям мероприятий, указанных в плане мероприятий.</w:t>
      </w:r>
    </w:p>
    <w:p w:rsidR="002A72E8" w:rsidRDefault="002A72E8">
      <w:pPr>
        <w:jc w:val="center"/>
        <w:rPr>
          <w:sz w:val="28"/>
        </w:rPr>
      </w:pPr>
    </w:p>
    <w:p w:rsidR="002A72E8" w:rsidRDefault="00EB5F34">
      <w:pPr>
        <w:jc w:val="center"/>
        <w:rPr>
          <w:sz w:val="28"/>
        </w:rPr>
      </w:pPr>
      <w:r>
        <w:rPr>
          <w:sz w:val="28"/>
        </w:rPr>
        <w:t>Этап реализации</w:t>
      </w:r>
    </w:p>
    <w:p w:rsidR="002A72E8" w:rsidRDefault="002A72E8">
      <w:pPr>
        <w:jc w:val="center"/>
        <w:rPr>
          <w:sz w:val="28"/>
        </w:rPr>
      </w:pPr>
    </w:p>
    <w:p w:rsidR="002A72E8" w:rsidRDefault="00EB5F34">
      <w:pPr>
        <w:ind w:firstLine="709"/>
        <w:jc w:val="both"/>
        <w:rPr>
          <w:sz w:val="28"/>
        </w:rPr>
      </w:pPr>
      <w:r>
        <w:rPr>
          <w:sz w:val="28"/>
        </w:rPr>
        <w:t>22. Ответственный за процесс контролирует выполнение плана мероприятий и в случае его неисполнения или риска неисполнения доводит  соответствующую информацию до ответственного за клиентоцентричность.</w:t>
      </w:r>
    </w:p>
    <w:p w:rsidR="002A72E8" w:rsidRDefault="00EB5F34">
      <w:pPr>
        <w:ind w:firstLine="709"/>
        <w:jc w:val="both"/>
        <w:rPr>
          <w:sz w:val="28"/>
        </w:rPr>
      </w:pPr>
      <w:r>
        <w:rPr>
          <w:sz w:val="28"/>
        </w:rPr>
        <w:t>23. В случае необходимости внесения изменений в сроки или состав мероприятий плана мероприятий соответствующие изменения вносятся                      в порядке, аналогичном установленному пунктами 19 – 21 настоящего Порядка.</w:t>
      </w:r>
    </w:p>
    <w:p w:rsidR="002A72E8" w:rsidRDefault="00EB5F34">
      <w:pPr>
        <w:ind w:firstLine="709"/>
        <w:jc w:val="both"/>
        <w:rPr>
          <w:sz w:val="28"/>
        </w:rPr>
      </w:pPr>
      <w:r>
        <w:rPr>
          <w:sz w:val="28"/>
        </w:rPr>
        <w:t>24. После реализации плана мероприятий ответственный за процесс готовит отчет о выполнении плана мероприятий (далее – отчет) и формирует заключение, содержащее одно из следующих предложений:</w:t>
      </w:r>
    </w:p>
    <w:p w:rsidR="002A72E8" w:rsidRDefault="00EB5F34">
      <w:pPr>
        <w:ind w:firstLine="709"/>
        <w:jc w:val="both"/>
        <w:rPr>
          <w:sz w:val="28"/>
        </w:rPr>
      </w:pPr>
      <w:r>
        <w:rPr>
          <w:sz w:val="28"/>
        </w:rPr>
        <w:t>1) о согласовании отчета;</w:t>
      </w:r>
    </w:p>
    <w:p w:rsidR="002A72E8" w:rsidRDefault="00EB5F34">
      <w:pPr>
        <w:ind w:firstLine="709"/>
        <w:jc w:val="both"/>
        <w:rPr>
          <w:sz w:val="28"/>
        </w:rPr>
      </w:pPr>
      <w:r>
        <w:rPr>
          <w:sz w:val="28"/>
        </w:rPr>
        <w:t>2) о необходимости дополнительной проработки отдельных мероприятий плана мероприятий.</w:t>
      </w:r>
    </w:p>
    <w:p w:rsidR="002A72E8" w:rsidRDefault="00EB5F34">
      <w:pPr>
        <w:ind w:firstLine="709"/>
        <w:jc w:val="both"/>
        <w:rPr>
          <w:sz w:val="28"/>
        </w:rPr>
      </w:pPr>
      <w:r>
        <w:rPr>
          <w:sz w:val="28"/>
        </w:rPr>
        <w:t>25. Заключение вместе с отчетом передается ответственному                              за клиентоцентричность, который в течение 3 рабочих дней принимает одно из решений, указанных в подпунктах 1, 2 пункта 24 настоящего Порядка, и доводит его до ответственного за процесс.</w:t>
      </w:r>
    </w:p>
    <w:p w:rsidR="002A72E8" w:rsidRDefault="00EB5F34">
      <w:pPr>
        <w:ind w:firstLine="709"/>
        <w:jc w:val="both"/>
        <w:rPr>
          <w:sz w:val="28"/>
        </w:rPr>
      </w:pPr>
      <w:r>
        <w:rPr>
          <w:sz w:val="28"/>
        </w:rPr>
        <w:t>26. В случае принятия решения, указанного в подпункте 2 пункта 24 настоящего Порядка, ответственный за процесс осуществляет доработку плана мероприятий в трехдневный срок и повторно передает его на рассмотрение ответственному за клиентоцентричность.</w:t>
      </w:r>
    </w:p>
    <w:p w:rsidR="002A72E8" w:rsidRDefault="00EB5F34">
      <w:pPr>
        <w:ind w:firstLine="709"/>
        <w:jc w:val="both"/>
        <w:rPr>
          <w:sz w:val="28"/>
        </w:rPr>
      </w:pPr>
      <w:r>
        <w:rPr>
          <w:sz w:val="28"/>
        </w:rPr>
        <w:t>В случае принятия решения, указанного в подпункте 1 пункта 24 настоящего Порядка, реинжиниринг процесса считается завершенным.</w:t>
      </w:r>
    </w:p>
    <w:p w:rsidR="002A72E8" w:rsidRDefault="002A72E8">
      <w:pPr>
        <w:jc w:val="both"/>
        <w:rPr>
          <w:sz w:val="28"/>
        </w:rPr>
      </w:pPr>
    </w:p>
    <w:p w:rsidR="002A72E8" w:rsidRDefault="002A72E8">
      <w:pPr>
        <w:jc w:val="both"/>
        <w:rPr>
          <w:sz w:val="28"/>
        </w:rPr>
      </w:pPr>
    </w:p>
    <w:p w:rsidR="002A72E8" w:rsidRDefault="002A72E8">
      <w:pPr>
        <w:jc w:val="both"/>
        <w:rPr>
          <w:sz w:val="28"/>
        </w:rPr>
      </w:pPr>
    </w:p>
    <w:p w:rsidR="002A72E8" w:rsidRDefault="00EB5F34">
      <w:pPr>
        <w:spacing w:line="240" w:lineRule="exact"/>
        <w:jc w:val="both"/>
        <w:rPr>
          <w:sz w:val="28"/>
        </w:rPr>
      </w:pPr>
      <w:r>
        <w:rPr>
          <w:sz w:val="28"/>
        </w:rPr>
        <w:t>Заместитель главы</w:t>
      </w:r>
    </w:p>
    <w:p w:rsidR="002A72E8" w:rsidRDefault="00EB5F34">
      <w:pPr>
        <w:spacing w:line="240" w:lineRule="exact"/>
        <w:jc w:val="both"/>
        <w:rPr>
          <w:sz w:val="28"/>
        </w:rPr>
      </w:pPr>
      <w:r>
        <w:rPr>
          <w:sz w:val="28"/>
        </w:rPr>
        <w:t>администрации города Ставрополя                                              М.С. Дубровин</w:t>
      </w:r>
    </w:p>
    <w:p w:rsidR="002A72E8" w:rsidRDefault="002A72E8">
      <w:pPr>
        <w:sectPr w:rsidR="002A72E8">
          <w:headerReference w:type="default" r:id="rId7"/>
          <w:pgSz w:w="11906" w:h="16838"/>
          <w:pgMar w:top="1418" w:right="567" w:bottom="1134" w:left="1985" w:header="0" w:footer="0" w:gutter="0"/>
          <w:pgNumType w:start="1"/>
          <w:cols w:space="720"/>
          <w:titlePg/>
        </w:sectPr>
      </w:pPr>
    </w:p>
    <w:p w:rsidR="002A72E8" w:rsidRDefault="002A72E8">
      <w:pPr>
        <w:jc w:val="both"/>
        <w:rPr>
          <w:sz w:val="28"/>
        </w:rPr>
      </w:pPr>
    </w:p>
    <w:tbl>
      <w:tblPr>
        <w:tblW w:w="0" w:type="auto"/>
        <w:tblLayout w:type="fixed"/>
        <w:tblLook w:val="04A0"/>
      </w:tblPr>
      <w:tblGrid>
        <w:gridCol w:w="8932"/>
        <w:gridCol w:w="5811"/>
      </w:tblGrid>
      <w:tr w:rsidR="002A72E8">
        <w:trPr>
          <w:trHeight w:val="2314"/>
        </w:trPr>
        <w:tc>
          <w:tcPr>
            <w:tcW w:w="8932" w:type="dxa"/>
          </w:tcPr>
          <w:p w:rsidR="002A72E8" w:rsidRDefault="002A72E8">
            <w:pPr>
              <w:spacing w:line="276" w:lineRule="auto"/>
              <w:jc w:val="center"/>
              <w:rPr>
                <w:color w:val="000000" w:themeColor="text1"/>
                <w:sz w:val="28"/>
              </w:rPr>
            </w:pPr>
          </w:p>
        </w:tc>
        <w:tc>
          <w:tcPr>
            <w:tcW w:w="5811" w:type="dxa"/>
          </w:tcPr>
          <w:p w:rsidR="002A72E8" w:rsidRDefault="00EB5F34">
            <w:pPr>
              <w:spacing w:line="240" w:lineRule="exact"/>
              <w:rPr>
                <w:color w:val="000000" w:themeColor="text1"/>
                <w:sz w:val="28"/>
              </w:rPr>
            </w:pPr>
            <w:r>
              <w:rPr>
                <w:color w:val="000000" w:themeColor="text1"/>
                <w:sz w:val="28"/>
              </w:rPr>
              <w:t xml:space="preserve">Приложение </w:t>
            </w:r>
          </w:p>
          <w:p w:rsidR="002A72E8" w:rsidRDefault="002A72E8">
            <w:pPr>
              <w:spacing w:line="240" w:lineRule="exact"/>
              <w:rPr>
                <w:color w:val="000000" w:themeColor="text1"/>
                <w:sz w:val="28"/>
              </w:rPr>
            </w:pPr>
          </w:p>
          <w:p w:rsidR="002A72E8" w:rsidRDefault="00EB5F34">
            <w:pPr>
              <w:spacing w:line="240" w:lineRule="exact"/>
              <w:rPr>
                <w:color w:val="000000" w:themeColor="text1"/>
                <w:sz w:val="28"/>
              </w:rPr>
            </w:pPr>
            <w:r>
              <w:rPr>
                <w:color w:val="000000" w:themeColor="text1"/>
                <w:sz w:val="28"/>
              </w:rPr>
              <w:t xml:space="preserve">к Порядку проведения реинжиниринга процессов в администрации города Ставрополя, отраслевых (функциональных) </w:t>
            </w:r>
          </w:p>
          <w:p w:rsidR="002A72E8" w:rsidRDefault="00EB5F34">
            <w:pPr>
              <w:spacing w:line="240" w:lineRule="exact"/>
              <w:rPr>
                <w:color w:val="000000" w:themeColor="text1"/>
                <w:sz w:val="28"/>
              </w:rPr>
            </w:pPr>
            <w:r>
              <w:rPr>
                <w:color w:val="000000" w:themeColor="text1"/>
                <w:sz w:val="28"/>
              </w:rPr>
              <w:t>и территориальных органах администрации города Ставрополя</w:t>
            </w:r>
          </w:p>
        </w:tc>
      </w:tr>
    </w:tbl>
    <w:p w:rsidR="002A72E8" w:rsidRDefault="002A72E8">
      <w:pPr>
        <w:spacing w:line="240" w:lineRule="exact"/>
        <w:jc w:val="center"/>
        <w:rPr>
          <w:sz w:val="28"/>
        </w:rPr>
      </w:pPr>
    </w:p>
    <w:p w:rsidR="002A72E8" w:rsidRDefault="00EB5F34">
      <w:pPr>
        <w:spacing w:line="240" w:lineRule="exact"/>
        <w:jc w:val="center"/>
        <w:rPr>
          <w:sz w:val="28"/>
        </w:rPr>
      </w:pPr>
      <w:r>
        <w:rPr>
          <w:sz w:val="28"/>
        </w:rPr>
        <w:t>ТИПОВОЙ ПЛАН МЕРОПРИЯТИЙ</w:t>
      </w:r>
    </w:p>
    <w:p w:rsidR="002A72E8" w:rsidRDefault="00EB5F34">
      <w:pPr>
        <w:spacing w:line="240" w:lineRule="exact"/>
        <w:jc w:val="center"/>
        <w:rPr>
          <w:sz w:val="28"/>
        </w:rPr>
      </w:pPr>
      <w:r>
        <w:rPr>
          <w:sz w:val="28"/>
        </w:rPr>
        <w:t>по реализации целевого порядка осуществления процесса</w:t>
      </w:r>
    </w:p>
    <w:p w:rsidR="002A72E8" w:rsidRDefault="002A72E8">
      <w:pPr>
        <w:spacing w:line="276" w:lineRule="auto"/>
        <w:jc w:val="center"/>
        <w:rPr>
          <w:b/>
          <w:sz w:val="28"/>
        </w:rPr>
      </w:pPr>
    </w:p>
    <w:tbl>
      <w:tblPr>
        <w:tblStyle w:val="affc"/>
        <w:tblW w:w="0" w:type="auto"/>
        <w:tblInd w:w="250" w:type="dxa"/>
        <w:tblLayout w:type="fixed"/>
        <w:tblLook w:val="04A0"/>
      </w:tblPr>
      <w:tblGrid>
        <w:gridCol w:w="830"/>
        <w:gridCol w:w="5454"/>
        <w:gridCol w:w="1668"/>
        <w:gridCol w:w="2224"/>
        <w:gridCol w:w="3882"/>
      </w:tblGrid>
      <w:tr w:rsidR="002A72E8">
        <w:trPr>
          <w:trHeight w:val="390"/>
        </w:trPr>
        <w:tc>
          <w:tcPr>
            <w:tcW w:w="830" w:type="dxa"/>
            <w:shd w:val="clear" w:color="auto" w:fill="auto"/>
          </w:tcPr>
          <w:p w:rsidR="002A72E8" w:rsidRDefault="00EB5F34">
            <w:pPr>
              <w:jc w:val="center"/>
              <w:rPr>
                <w:sz w:val="28"/>
              </w:rPr>
            </w:pPr>
            <w:r>
              <w:rPr>
                <w:sz w:val="28"/>
              </w:rPr>
              <w:t>№</w:t>
            </w:r>
          </w:p>
          <w:p w:rsidR="002A72E8" w:rsidRDefault="00EB5F34">
            <w:pPr>
              <w:jc w:val="center"/>
              <w:rPr>
                <w:sz w:val="28"/>
              </w:rPr>
            </w:pPr>
            <w:r>
              <w:rPr>
                <w:sz w:val="28"/>
              </w:rPr>
              <w:t>п/п</w:t>
            </w:r>
          </w:p>
        </w:tc>
        <w:tc>
          <w:tcPr>
            <w:tcW w:w="5454" w:type="dxa"/>
            <w:shd w:val="clear" w:color="auto" w:fill="auto"/>
          </w:tcPr>
          <w:p w:rsidR="002A72E8" w:rsidRDefault="00EB5F34">
            <w:pPr>
              <w:jc w:val="center"/>
              <w:rPr>
                <w:sz w:val="28"/>
              </w:rPr>
            </w:pPr>
            <w:r>
              <w:rPr>
                <w:sz w:val="28"/>
              </w:rPr>
              <w:t>Мероприятие</w:t>
            </w:r>
          </w:p>
        </w:tc>
        <w:tc>
          <w:tcPr>
            <w:tcW w:w="1668" w:type="dxa"/>
            <w:shd w:val="clear" w:color="auto" w:fill="auto"/>
          </w:tcPr>
          <w:p w:rsidR="002A72E8" w:rsidRDefault="00EB5F34">
            <w:pPr>
              <w:jc w:val="center"/>
              <w:rPr>
                <w:sz w:val="28"/>
              </w:rPr>
            </w:pPr>
            <w:r>
              <w:rPr>
                <w:sz w:val="28"/>
              </w:rPr>
              <w:t>Дата окончания</w:t>
            </w:r>
          </w:p>
        </w:tc>
        <w:tc>
          <w:tcPr>
            <w:tcW w:w="2224" w:type="dxa"/>
            <w:shd w:val="clear" w:color="auto" w:fill="auto"/>
          </w:tcPr>
          <w:p w:rsidR="002A72E8" w:rsidRDefault="00EB5F34">
            <w:pPr>
              <w:jc w:val="center"/>
              <w:rPr>
                <w:sz w:val="28"/>
              </w:rPr>
            </w:pPr>
            <w:r>
              <w:rPr>
                <w:sz w:val="28"/>
              </w:rPr>
              <w:t>Ответственный</w:t>
            </w:r>
          </w:p>
        </w:tc>
        <w:tc>
          <w:tcPr>
            <w:tcW w:w="3882" w:type="dxa"/>
            <w:shd w:val="clear" w:color="auto" w:fill="auto"/>
          </w:tcPr>
          <w:p w:rsidR="002A72E8" w:rsidRDefault="00EB5F34">
            <w:pPr>
              <w:jc w:val="center"/>
              <w:rPr>
                <w:sz w:val="28"/>
              </w:rPr>
            </w:pPr>
            <w:r>
              <w:rPr>
                <w:sz w:val="28"/>
              </w:rPr>
              <w:t>Образ результата и отчетный документ</w:t>
            </w:r>
          </w:p>
        </w:tc>
      </w:tr>
      <w:tr w:rsidR="002A72E8">
        <w:trPr>
          <w:trHeight w:val="439"/>
        </w:trPr>
        <w:tc>
          <w:tcPr>
            <w:tcW w:w="830" w:type="dxa"/>
            <w:shd w:val="clear" w:color="auto" w:fill="auto"/>
          </w:tcPr>
          <w:p w:rsidR="002A72E8" w:rsidRDefault="00EB5F34">
            <w:pPr>
              <w:pStyle w:val="docdata"/>
              <w:rPr>
                <w:sz w:val="28"/>
              </w:rPr>
            </w:pPr>
            <w:r>
              <w:rPr>
                <w:sz w:val="28"/>
              </w:rPr>
              <w:t>1.</w:t>
            </w:r>
          </w:p>
        </w:tc>
        <w:tc>
          <w:tcPr>
            <w:tcW w:w="5454" w:type="dxa"/>
            <w:shd w:val="clear" w:color="auto" w:fill="auto"/>
          </w:tcPr>
          <w:p w:rsidR="002A72E8" w:rsidRDefault="00EB5F34">
            <w:pPr>
              <w:pStyle w:val="docdata"/>
              <w:rPr>
                <w:b/>
                <w:sz w:val="28"/>
              </w:rPr>
            </w:pPr>
            <w:r>
              <w:rPr>
                <w:sz w:val="28"/>
              </w:rPr>
              <w:t xml:space="preserve">Организационные мероприятия </w:t>
            </w:r>
          </w:p>
        </w:tc>
        <w:tc>
          <w:tcPr>
            <w:tcW w:w="1668" w:type="dxa"/>
            <w:shd w:val="clear" w:color="auto" w:fill="auto"/>
          </w:tcPr>
          <w:p w:rsidR="002A72E8" w:rsidRDefault="002A72E8">
            <w:pPr>
              <w:rPr>
                <w:color w:val="000000" w:themeColor="text1"/>
                <w:sz w:val="28"/>
              </w:rPr>
            </w:pPr>
          </w:p>
        </w:tc>
        <w:tc>
          <w:tcPr>
            <w:tcW w:w="2224" w:type="dxa"/>
            <w:shd w:val="clear" w:color="auto" w:fill="auto"/>
          </w:tcPr>
          <w:p w:rsidR="002A72E8" w:rsidRDefault="002A72E8">
            <w:pPr>
              <w:rPr>
                <w:color w:val="000000" w:themeColor="text1"/>
                <w:sz w:val="28"/>
              </w:rPr>
            </w:pPr>
          </w:p>
        </w:tc>
        <w:tc>
          <w:tcPr>
            <w:tcW w:w="3882" w:type="dxa"/>
            <w:shd w:val="clear" w:color="auto" w:fill="auto"/>
          </w:tcPr>
          <w:p w:rsidR="002A72E8" w:rsidRDefault="002A72E8">
            <w:pPr>
              <w:rPr>
                <w:color w:val="000000" w:themeColor="text1"/>
                <w:sz w:val="28"/>
              </w:rPr>
            </w:pPr>
          </w:p>
        </w:tc>
      </w:tr>
      <w:tr w:rsidR="002A72E8">
        <w:trPr>
          <w:trHeight w:val="382"/>
        </w:trPr>
        <w:tc>
          <w:tcPr>
            <w:tcW w:w="830" w:type="dxa"/>
            <w:shd w:val="clear" w:color="auto" w:fill="auto"/>
          </w:tcPr>
          <w:p w:rsidR="002A72E8" w:rsidRDefault="00EB5F34">
            <w:pPr>
              <w:pStyle w:val="docdata"/>
              <w:rPr>
                <w:sz w:val="28"/>
              </w:rPr>
            </w:pPr>
            <w:r>
              <w:rPr>
                <w:sz w:val="28"/>
              </w:rPr>
              <w:t>1)</w:t>
            </w:r>
          </w:p>
        </w:tc>
        <w:tc>
          <w:tcPr>
            <w:tcW w:w="5454" w:type="dxa"/>
            <w:shd w:val="clear" w:color="auto" w:fill="auto"/>
          </w:tcPr>
          <w:p w:rsidR="002A72E8" w:rsidRDefault="002A72E8">
            <w:pPr>
              <w:pStyle w:val="docdata"/>
              <w:jc w:val="both"/>
              <w:rPr>
                <w:sz w:val="28"/>
              </w:rPr>
            </w:pPr>
          </w:p>
        </w:tc>
        <w:tc>
          <w:tcPr>
            <w:tcW w:w="1668" w:type="dxa"/>
            <w:shd w:val="clear" w:color="auto" w:fill="auto"/>
          </w:tcPr>
          <w:p w:rsidR="002A72E8" w:rsidRDefault="002A72E8">
            <w:pPr>
              <w:rPr>
                <w:color w:val="000000" w:themeColor="text1"/>
                <w:sz w:val="28"/>
              </w:rPr>
            </w:pPr>
          </w:p>
        </w:tc>
        <w:tc>
          <w:tcPr>
            <w:tcW w:w="2224" w:type="dxa"/>
            <w:shd w:val="clear" w:color="auto" w:fill="auto"/>
          </w:tcPr>
          <w:p w:rsidR="002A72E8" w:rsidRDefault="002A72E8">
            <w:pPr>
              <w:rPr>
                <w:color w:val="000000" w:themeColor="text1"/>
                <w:sz w:val="28"/>
              </w:rPr>
            </w:pPr>
          </w:p>
        </w:tc>
        <w:tc>
          <w:tcPr>
            <w:tcW w:w="3882" w:type="dxa"/>
            <w:shd w:val="clear" w:color="auto" w:fill="auto"/>
          </w:tcPr>
          <w:p w:rsidR="002A72E8" w:rsidRDefault="002A72E8">
            <w:pPr>
              <w:rPr>
                <w:color w:val="000000" w:themeColor="text1"/>
                <w:sz w:val="28"/>
              </w:rPr>
            </w:pPr>
          </w:p>
        </w:tc>
      </w:tr>
      <w:tr w:rsidR="002A72E8">
        <w:trPr>
          <w:trHeight w:val="351"/>
        </w:trPr>
        <w:tc>
          <w:tcPr>
            <w:tcW w:w="830" w:type="dxa"/>
            <w:shd w:val="clear" w:color="auto" w:fill="auto"/>
          </w:tcPr>
          <w:p w:rsidR="002A72E8" w:rsidRDefault="00EB5F34">
            <w:pPr>
              <w:pStyle w:val="docdata"/>
              <w:rPr>
                <w:sz w:val="28"/>
              </w:rPr>
            </w:pPr>
            <w:r>
              <w:rPr>
                <w:sz w:val="28"/>
              </w:rPr>
              <w:t>2)</w:t>
            </w:r>
          </w:p>
        </w:tc>
        <w:tc>
          <w:tcPr>
            <w:tcW w:w="5454" w:type="dxa"/>
            <w:shd w:val="clear" w:color="auto" w:fill="auto"/>
          </w:tcPr>
          <w:p w:rsidR="002A72E8" w:rsidRDefault="002A72E8">
            <w:pPr>
              <w:pStyle w:val="docdata"/>
              <w:jc w:val="both"/>
              <w:rPr>
                <w:sz w:val="28"/>
              </w:rPr>
            </w:pPr>
          </w:p>
        </w:tc>
        <w:tc>
          <w:tcPr>
            <w:tcW w:w="1668" w:type="dxa"/>
            <w:shd w:val="clear" w:color="auto" w:fill="auto"/>
          </w:tcPr>
          <w:p w:rsidR="002A72E8" w:rsidRDefault="002A72E8">
            <w:pPr>
              <w:pStyle w:val="docdata"/>
              <w:rPr>
                <w:sz w:val="28"/>
              </w:rPr>
            </w:pPr>
          </w:p>
        </w:tc>
        <w:tc>
          <w:tcPr>
            <w:tcW w:w="2224" w:type="dxa"/>
            <w:shd w:val="clear" w:color="auto" w:fill="auto"/>
          </w:tcPr>
          <w:p w:rsidR="002A72E8" w:rsidRDefault="002A72E8">
            <w:pPr>
              <w:pStyle w:val="docdata"/>
              <w:rPr>
                <w:sz w:val="28"/>
              </w:rPr>
            </w:pPr>
          </w:p>
        </w:tc>
        <w:tc>
          <w:tcPr>
            <w:tcW w:w="3882" w:type="dxa"/>
            <w:shd w:val="clear" w:color="auto" w:fill="auto"/>
          </w:tcPr>
          <w:p w:rsidR="002A72E8" w:rsidRDefault="002A72E8">
            <w:pPr>
              <w:pStyle w:val="docdata"/>
              <w:rPr>
                <w:sz w:val="28"/>
              </w:rPr>
            </w:pPr>
          </w:p>
        </w:tc>
      </w:tr>
      <w:tr w:rsidR="002A72E8">
        <w:tc>
          <w:tcPr>
            <w:tcW w:w="830" w:type="dxa"/>
            <w:shd w:val="clear" w:color="auto" w:fill="auto"/>
          </w:tcPr>
          <w:p w:rsidR="002A72E8" w:rsidRDefault="00EB5F34">
            <w:pPr>
              <w:rPr>
                <w:sz w:val="28"/>
              </w:rPr>
            </w:pPr>
            <w:r>
              <w:rPr>
                <w:sz w:val="28"/>
              </w:rPr>
              <w:t>2.</w:t>
            </w:r>
          </w:p>
        </w:tc>
        <w:tc>
          <w:tcPr>
            <w:tcW w:w="5454" w:type="dxa"/>
            <w:shd w:val="clear" w:color="auto" w:fill="auto"/>
          </w:tcPr>
          <w:p w:rsidR="002A72E8" w:rsidRDefault="00EB5F34">
            <w:pPr>
              <w:rPr>
                <w:sz w:val="28"/>
              </w:rPr>
            </w:pPr>
            <w:r>
              <w:rPr>
                <w:sz w:val="28"/>
              </w:rPr>
              <w:t>Внесение изменений в правовые акты</w:t>
            </w:r>
          </w:p>
        </w:tc>
        <w:tc>
          <w:tcPr>
            <w:tcW w:w="1668" w:type="dxa"/>
            <w:shd w:val="clear" w:color="auto" w:fill="auto"/>
          </w:tcPr>
          <w:p w:rsidR="002A72E8" w:rsidRDefault="002A72E8">
            <w:pPr>
              <w:pStyle w:val="docdata"/>
              <w:rPr>
                <w:sz w:val="28"/>
              </w:rPr>
            </w:pPr>
          </w:p>
        </w:tc>
        <w:tc>
          <w:tcPr>
            <w:tcW w:w="2224" w:type="dxa"/>
            <w:shd w:val="clear" w:color="auto" w:fill="auto"/>
          </w:tcPr>
          <w:p w:rsidR="002A72E8" w:rsidRDefault="002A72E8">
            <w:pPr>
              <w:pStyle w:val="docdata"/>
              <w:rPr>
                <w:sz w:val="28"/>
              </w:rPr>
            </w:pPr>
          </w:p>
        </w:tc>
        <w:tc>
          <w:tcPr>
            <w:tcW w:w="3882" w:type="dxa"/>
            <w:shd w:val="clear" w:color="auto" w:fill="auto"/>
          </w:tcPr>
          <w:p w:rsidR="002A72E8" w:rsidRDefault="002A72E8">
            <w:pPr>
              <w:pStyle w:val="docdata"/>
              <w:rPr>
                <w:sz w:val="28"/>
              </w:rPr>
            </w:pPr>
          </w:p>
        </w:tc>
      </w:tr>
      <w:tr w:rsidR="002A72E8">
        <w:trPr>
          <w:trHeight w:val="406"/>
        </w:trPr>
        <w:tc>
          <w:tcPr>
            <w:tcW w:w="830" w:type="dxa"/>
            <w:shd w:val="clear" w:color="auto" w:fill="auto"/>
          </w:tcPr>
          <w:p w:rsidR="002A72E8" w:rsidRDefault="00EB5F34">
            <w:pPr>
              <w:rPr>
                <w:color w:val="000000" w:themeColor="text1"/>
                <w:sz w:val="28"/>
              </w:rPr>
            </w:pPr>
            <w:r>
              <w:rPr>
                <w:sz w:val="28"/>
              </w:rPr>
              <w:t>1)</w:t>
            </w:r>
          </w:p>
        </w:tc>
        <w:tc>
          <w:tcPr>
            <w:tcW w:w="5454" w:type="dxa"/>
            <w:shd w:val="clear" w:color="auto" w:fill="auto"/>
          </w:tcPr>
          <w:p w:rsidR="002A72E8" w:rsidRDefault="002A72E8">
            <w:pPr>
              <w:pStyle w:val="docdata"/>
              <w:jc w:val="both"/>
              <w:rPr>
                <w:color w:val="000000" w:themeColor="text1"/>
              </w:rPr>
            </w:pPr>
          </w:p>
        </w:tc>
        <w:tc>
          <w:tcPr>
            <w:tcW w:w="1668" w:type="dxa"/>
            <w:shd w:val="clear" w:color="auto" w:fill="auto"/>
          </w:tcPr>
          <w:p w:rsidR="002A72E8" w:rsidRDefault="002A72E8">
            <w:pPr>
              <w:rPr>
                <w:color w:val="000000" w:themeColor="text1"/>
              </w:rPr>
            </w:pPr>
          </w:p>
        </w:tc>
        <w:tc>
          <w:tcPr>
            <w:tcW w:w="2224" w:type="dxa"/>
            <w:shd w:val="clear" w:color="auto" w:fill="auto"/>
          </w:tcPr>
          <w:p w:rsidR="002A72E8" w:rsidRDefault="002A72E8">
            <w:pPr>
              <w:rPr>
                <w:color w:val="000000" w:themeColor="text1"/>
                <w:sz w:val="28"/>
              </w:rPr>
            </w:pPr>
          </w:p>
        </w:tc>
        <w:tc>
          <w:tcPr>
            <w:tcW w:w="3882" w:type="dxa"/>
            <w:shd w:val="clear" w:color="auto" w:fill="auto"/>
          </w:tcPr>
          <w:p w:rsidR="002A72E8" w:rsidRDefault="002A72E8">
            <w:pPr>
              <w:rPr>
                <w:color w:val="000000" w:themeColor="text1"/>
                <w:sz w:val="28"/>
              </w:rPr>
            </w:pPr>
          </w:p>
        </w:tc>
      </w:tr>
      <w:tr w:rsidR="002A72E8">
        <w:trPr>
          <w:trHeight w:val="406"/>
        </w:trPr>
        <w:tc>
          <w:tcPr>
            <w:tcW w:w="830" w:type="dxa"/>
            <w:shd w:val="clear" w:color="auto" w:fill="auto"/>
          </w:tcPr>
          <w:p w:rsidR="002A72E8" w:rsidRDefault="00EB5F34">
            <w:pPr>
              <w:rPr>
                <w:color w:val="000000" w:themeColor="text1"/>
                <w:sz w:val="28"/>
              </w:rPr>
            </w:pPr>
            <w:r>
              <w:rPr>
                <w:color w:val="000000" w:themeColor="text1"/>
                <w:sz w:val="28"/>
              </w:rPr>
              <w:t>2)</w:t>
            </w:r>
          </w:p>
        </w:tc>
        <w:tc>
          <w:tcPr>
            <w:tcW w:w="5454" w:type="dxa"/>
            <w:shd w:val="clear" w:color="auto" w:fill="auto"/>
          </w:tcPr>
          <w:p w:rsidR="002A72E8" w:rsidRDefault="002A72E8">
            <w:pPr>
              <w:pStyle w:val="docdata"/>
              <w:jc w:val="both"/>
              <w:rPr>
                <w:color w:val="000000" w:themeColor="text1"/>
              </w:rPr>
            </w:pPr>
          </w:p>
        </w:tc>
        <w:tc>
          <w:tcPr>
            <w:tcW w:w="1668" w:type="dxa"/>
            <w:shd w:val="clear" w:color="auto" w:fill="auto"/>
          </w:tcPr>
          <w:p w:rsidR="002A72E8" w:rsidRDefault="002A72E8">
            <w:pPr>
              <w:rPr>
                <w:color w:val="000000" w:themeColor="text1"/>
              </w:rPr>
            </w:pPr>
          </w:p>
        </w:tc>
        <w:tc>
          <w:tcPr>
            <w:tcW w:w="2224" w:type="dxa"/>
            <w:shd w:val="clear" w:color="auto" w:fill="auto"/>
          </w:tcPr>
          <w:p w:rsidR="002A72E8" w:rsidRDefault="002A72E8">
            <w:pPr>
              <w:rPr>
                <w:color w:val="000000" w:themeColor="text1"/>
                <w:sz w:val="28"/>
              </w:rPr>
            </w:pPr>
          </w:p>
        </w:tc>
        <w:tc>
          <w:tcPr>
            <w:tcW w:w="3882" w:type="dxa"/>
            <w:shd w:val="clear" w:color="auto" w:fill="auto"/>
          </w:tcPr>
          <w:p w:rsidR="002A72E8" w:rsidRDefault="002A72E8">
            <w:pPr>
              <w:rPr>
                <w:color w:val="000000" w:themeColor="text1"/>
                <w:sz w:val="28"/>
              </w:rPr>
            </w:pPr>
          </w:p>
        </w:tc>
      </w:tr>
      <w:tr w:rsidR="002A72E8">
        <w:tc>
          <w:tcPr>
            <w:tcW w:w="830" w:type="dxa"/>
            <w:shd w:val="clear" w:color="auto" w:fill="auto"/>
          </w:tcPr>
          <w:p w:rsidR="002A72E8" w:rsidRDefault="00EB5F34">
            <w:pPr>
              <w:rPr>
                <w:sz w:val="28"/>
              </w:rPr>
            </w:pPr>
            <w:r>
              <w:rPr>
                <w:sz w:val="28"/>
              </w:rPr>
              <w:t>3.</w:t>
            </w:r>
          </w:p>
        </w:tc>
        <w:tc>
          <w:tcPr>
            <w:tcW w:w="5454" w:type="dxa"/>
            <w:shd w:val="clear" w:color="auto" w:fill="auto"/>
          </w:tcPr>
          <w:p w:rsidR="002A72E8" w:rsidRDefault="00EB5F34">
            <w:pPr>
              <w:rPr>
                <w:sz w:val="28"/>
              </w:rPr>
            </w:pPr>
            <w:r>
              <w:rPr>
                <w:sz w:val="28"/>
              </w:rPr>
              <w:t xml:space="preserve">Доработка информационных систем </w:t>
            </w:r>
          </w:p>
          <w:p w:rsidR="002A72E8" w:rsidRDefault="00EB5F34">
            <w:pPr>
              <w:rPr>
                <w:sz w:val="28"/>
              </w:rPr>
            </w:pPr>
            <w:r>
              <w:rPr>
                <w:sz w:val="28"/>
              </w:rPr>
              <w:t>и развитие инфраструктуры</w:t>
            </w:r>
          </w:p>
        </w:tc>
        <w:tc>
          <w:tcPr>
            <w:tcW w:w="1668" w:type="dxa"/>
            <w:shd w:val="clear" w:color="auto" w:fill="auto"/>
          </w:tcPr>
          <w:p w:rsidR="002A72E8" w:rsidRDefault="002A72E8">
            <w:pPr>
              <w:rPr>
                <w:color w:val="000000" w:themeColor="text1"/>
                <w:sz w:val="28"/>
              </w:rPr>
            </w:pPr>
          </w:p>
        </w:tc>
        <w:tc>
          <w:tcPr>
            <w:tcW w:w="2224" w:type="dxa"/>
            <w:shd w:val="clear" w:color="auto" w:fill="auto"/>
          </w:tcPr>
          <w:p w:rsidR="002A72E8" w:rsidRDefault="002A72E8">
            <w:pPr>
              <w:rPr>
                <w:color w:val="000000" w:themeColor="text1"/>
                <w:sz w:val="28"/>
              </w:rPr>
            </w:pPr>
          </w:p>
        </w:tc>
        <w:tc>
          <w:tcPr>
            <w:tcW w:w="3882" w:type="dxa"/>
            <w:shd w:val="clear" w:color="auto" w:fill="auto"/>
          </w:tcPr>
          <w:p w:rsidR="002A72E8" w:rsidRDefault="002A72E8">
            <w:pPr>
              <w:rPr>
                <w:color w:val="000000" w:themeColor="text1"/>
                <w:sz w:val="28"/>
              </w:rPr>
            </w:pPr>
          </w:p>
        </w:tc>
      </w:tr>
      <w:tr w:rsidR="002A72E8">
        <w:tc>
          <w:tcPr>
            <w:tcW w:w="830" w:type="dxa"/>
            <w:shd w:val="clear" w:color="auto" w:fill="auto"/>
          </w:tcPr>
          <w:p w:rsidR="002A72E8" w:rsidRDefault="00EB5F34">
            <w:pPr>
              <w:rPr>
                <w:color w:val="000000" w:themeColor="text1"/>
                <w:sz w:val="28"/>
              </w:rPr>
            </w:pPr>
            <w:r>
              <w:rPr>
                <w:sz w:val="28"/>
              </w:rPr>
              <w:t>1)</w:t>
            </w:r>
          </w:p>
        </w:tc>
        <w:tc>
          <w:tcPr>
            <w:tcW w:w="5454" w:type="dxa"/>
            <w:shd w:val="clear" w:color="auto" w:fill="auto"/>
          </w:tcPr>
          <w:p w:rsidR="002A72E8" w:rsidRDefault="002A72E8">
            <w:pPr>
              <w:jc w:val="both"/>
              <w:rPr>
                <w:color w:val="000000" w:themeColor="text1"/>
                <w:sz w:val="28"/>
              </w:rPr>
            </w:pPr>
          </w:p>
        </w:tc>
        <w:tc>
          <w:tcPr>
            <w:tcW w:w="1668" w:type="dxa"/>
            <w:shd w:val="clear" w:color="auto" w:fill="auto"/>
          </w:tcPr>
          <w:p w:rsidR="002A72E8" w:rsidRDefault="002A72E8">
            <w:pPr>
              <w:rPr>
                <w:color w:val="000000" w:themeColor="text1"/>
                <w:sz w:val="28"/>
              </w:rPr>
            </w:pPr>
          </w:p>
        </w:tc>
        <w:tc>
          <w:tcPr>
            <w:tcW w:w="2224" w:type="dxa"/>
            <w:shd w:val="clear" w:color="auto" w:fill="auto"/>
          </w:tcPr>
          <w:p w:rsidR="002A72E8" w:rsidRDefault="002A72E8">
            <w:pPr>
              <w:rPr>
                <w:color w:val="000000" w:themeColor="text1"/>
                <w:sz w:val="28"/>
              </w:rPr>
            </w:pPr>
          </w:p>
        </w:tc>
        <w:tc>
          <w:tcPr>
            <w:tcW w:w="3882" w:type="dxa"/>
            <w:shd w:val="clear" w:color="auto" w:fill="auto"/>
          </w:tcPr>
          <w:p w:rsidR="002A72E8" w:rsidRDefault="002A72E8">
            <w:pPr>
              <w:rPr>
                <w:color w:val="000000" w:themeColor="text1"/>
                <w:sz w:val="28"/>
              </w:rPr>
            </w:pPr>
          </w:p>
        </w:tc>
      </w:tr>
      <w:tr w:rsidR="002A72E8">
        <w:tc>
          <w:tcPr>
            <w:tcW w:w="830" w:type="dxa"/>
            <w:shd w:val="clear" w:color="auto" w:fill="auto"/>
          </w:tcPr>
          <w:p w:rsidR="002A72E8" w:rsidRDefault="00EB5F34">
            <w:pPr>
              <w:rPr>
                <w:sz w:val="28"/>
              </w:rPr>
            </w:pPr>
            <w:r>
              <w:rPr>
                <w:sz w:val="28"/>
              </w:rPr>
              <w:t>2)</w:t>
            </w:r>
          </w:p>
        </w:tc>
        <w:tc>
          <w:tcPr>
            <w:tcW w:w="5454" w:type="dxa"/>
            <w:shd w:val="clear" w:color="auto" w:fill="auto"/>
          </w:tcPr>
          <w:p w:rsidR="002A72E8" w:rsidRDefault="002A72E8">
            <w:pPr>
              <w:jc w:val="both"/>
              <w:rPr>
                <w:color w:val="000000" w:themeColor="text1"/>
                <w:sz w:val="28"/>
              </w:rPr>
            </w:pPr>
          </w:p>
        </w:tc>
        <w:tc>
          <w:tcPr>
            <w:tcW w:w="1668" w:type="dxa"/>
            <w:shd w:val="clear" w:color="auto" w:fill="auto"/>
          </w:tcPr>
          <w:p w:rsidR="002A72E8" w:rsidRDefault="002A72E8">
            <w:pPr>
              <w:rPr>
                <w:color w:val="000000" w:themeColor="text1"/>
                <w:sz w:val="28"/>
              </w:rPr>
            </w:pPr>
          </w:p>
        </w:tc>
        <w:tc>
          <w:tcPr>
            <w:tcW w:w="2224" w:type="dxa"/>
            <w:shd w:val="clear" w:color="auto" w:fill="auto"/>
          </w:tcPr>
          <w:p w:rsidR="002A72E8" w:rsidRDefault="002A72E8">
            <w:pPr>
              <w:rPr>
                <w:color w:val="000000" w:themeColor="text1"/>
                <w:sz w:val="28"/>
              </w:rPr>
            </w:pPr>
          </w:p>
        </w:tc>
        <w:tc>
          <w:tcPr>
            <w:tcW w:w="3882" w:type="dxa"/>
            <w:shd w:val="clear" w:color="auto" w:fill="auto"/>
          </w:tcPr>
          <w:p w:rsidR="002A72E8" w:rsidRDefault="002A72E8">
            <w:pPr>
              <w:rPr>
                <w:color w:val="000000" w:themeColor="text1"/>
                <w:sz w:val="28"/>
              </w:rPr>
            </w:pPr>
          </w:p>
        </w:tc>
      </w:tr>
      <w:tr w:rsidR="002A72E8">
        <w:tc>
          <w:tcPr>
            <w:tcW w:w="830" w:type="dxa"/>
            <w:shd w:val="clear" w:color="auto" w:fill="auto"/>
          </w:tcPr>
          <w:p w:rsidR="002A72E8" w:rsidRDefault="00EB5F34">
            <w:pPr>
              <w:rPr>
                <w:sz w:val="28"/>
              </w:rPr>
            </w:pPr>
            <w:r>
              <w:rPr>
                <w:sz w:val="28"/>
              </w:rPr>
              <w:t>4.</w:t>
            </w:r>
          </w:p>
        </w:tc>
        <w:tc>
          <w:tcPr>
            <w:tcW w:w="5454" w:type="dxa"/>
            <w:shd w:val="clear" w:color="auto" w:fill="auto"/>
          </w:tcPr>
          <w:p w:rsidR="002A72E8" w:rsidRDefault="00EB5F34">
            <w:pPr>
              <w:rPr>
                <w:sz w:val="28"/>
              </w:rPr>
            </w:pPr>
            <w:r>
              <w:rPr>
                <w:sz w:val="28"/>
              </w:rPr>
              <w:t>Иные мероприятия</w:t>
            </w:r>
          </w:p>
        </w:tc>
        <w:tc>
          <w:tcPr>
            <w:tcW w:w="1668" w:type="dxa"/>
            <w:shd w:val="clear" w:color="auto" w:fill="auto"/>
          </w:tcPr>
          <w:p w:rsidR="002A72E8" w:rsidRDefault="002A72E8">
            <w:pPr>
              <w:rPr>
                <w:color w:val="000000" w:themeColor="text1"/>
                <w:sz w:val="28"/>
              </w:rPr>
            </w:pPr>
          </w:p>
        </w:tc>
        <w:tc>
          <w:tcPr>
            <w:tcW w:w="2224" w:type="dxa"/>
            <w:shd w:val="clear" w:color="auto" w:fill="auto"/>
          </w:tcPr>
          <w:p w:rsidR="002A72E8" w:rsidRDefault="002A72E8">
            <w:pPr>
              <w:rPr>
                <w:color w:val="000000" w:themeColor="text1"/>
                <w:sz w:val="28"/>
              </w:rPr>
            </w:pPr>
          </w:p>
        </w:tc>
        <w:tc>
          <w:tcPr>
            <w:tcW w:w="3882" w:type="dxa"/>
            <w:shd w:val="clear" w:color="auto" w:fill="auto"/>
          </w:tcPr>
          <w:p w:rsidR="002A72E8" w:rsidRDefault="002A72E8">
            <w:pPr>
              <w:rPr>
                <w:color w:val="000000" w:themeColor="text1"/>
                <w:sz w:val="28"/>
              </w:rPr>
            </w:pPr>
          </w:p>
        </w:tc>
      </w:tr>
      <w:tr w:rsidR="002A72E8">
        <w:tc>
          <w:tcPr>
            <w:tcW w:w="830" w:type="dxa"/>
            <w:shd w:val="clear" w:color="auto" w:fill="auto"/>
          </w:tcPr>
          <w:p w:rsidR="002A72E8" w:rsidRDefault="00EB5F34">
            <w:pPr>
              <w:rPr>
                <w:color w:val="000000" w:themeColor="text1"/>
                <w:sz w:val="28"/>
              </w:rPr>
            </w:pPr>
            <w:r>
              <w:rPr>
                <w:sz w:val="28"/>
              </w:rPr>
              <w:t>1)</w:t>
            </w:r>
          </w:p>
        </w:tc>
        <w:tc>
          <w:tcPr>
            <w:tcW w:w="5454" w:type="dxa"/>
            <w:shd w:val="clear" w:color="auto" w:fill="auto"/>
          </w:tcPr>
          <w:p w:rsidR="002A72E8" w:rsidRDefault="002A72E8">
            <w:pPr>
              <w:jc w:val="both"/>
              <w:rPr>
                <w:color w:val="000000" w:themeColor="text1"/>
                <w:sz w:val="28"/>
              </w:rPr>
            </w:pPr>
          </w:p>
        </w:tc>
        <w:tc>
          <w:tcPr>
            <w:tcW w:w="1668" w:type="dxa"/>
            <w:shd w:val="clear" w:color="auto" w:fill="auto"/>
          </w:tcPr>
          <w:p w:rsidR="002A72E8" w:rsidRDefault="002A72E8">
            <w:pPr>
              <w:rPr>
                <w:color w:val="000000" w:themeColor="text1"/>
                <w:sz w:val="28"/>
              </w:rPr>
            </w:pPr>
          </w:p>
        </w:tc>
        <w:tc>
          <w:tcPr>
            <w:tcW w:w="2224" w:type="dxa"/>
            <w:shd w:val="clear" w:color="auto" w:fill="auto"/>
          </w:tcPr>
          <w:p w:rsidR="002A72E8" w:rsidRDefault="002A72E8">
            <w:pPr>
              <w:rPr>
                <w:color w:val="000000" w:themeColor="text1"/>
                <w:sz w:val="28"/>
              </w:rPr>
            </w:pPr>
          </w:p>
        </w:tc>
        <w:tc>
          <w:tcPr>
            <w:tcW w:w="3882" w:type="dxa"/>
            <w:shd w:val="clear" w:color="auto" w:fill="auto"/>
          </w:tcPr>
          <w:p w:rsidR="002A72E8" w:rsidRDefault="002A72E8">
            <w:pPr>
              <w:rPr>
                <w:color w:val="000000" w:themeColor="text1"/>
                <w:sz w:val="28"/>
              </w:rPr>
            </w:pPr>
          </w:p>
        </w:tc>
      </w:tr>
      <w:tr w:rsidR="002A72E8">
        <w:tc>
          <w:tcPr>
            <w:tcW w:w="830" w:type="dxa"/>
            <w:shd w:val="clear" w:color="auto" w:fill="auto"/>
          </w:tcPr>
          <w:p w:rsidR="002A72E8" w:rsidRDefault="00EB5F34">
            <w:pPr>
              <w:rPr>
                <w:sz w:val="28"/>
              </w:rPr>
            </w:pPr>
            <w:r>
              <w:rPr>
                <w:sz w:val="28"/>
              </w:rPr>
              <w:t>2)</w:t>
            </w:r>
          </w:p>
        </w:tc>
        <w:tc>
          <w:tcPr>
            <w:tcW w:w="5454" w:type="dxa"/>
            <w:shd w:val="clear" w:color="auto" w:fill="auto"/>
          </w:tcPr>
          <w:p w:rsidR="002A72E8" w:rsidRDefault="002A72E8">
            <w:pPr>
              <w:jc w:val="both"/>
              <w:rPr>
                <w:color w:val="000000" w:themeColor="text1"/>
                <w:sz w:val="28"/>
              </w:rPr>
            </w:pPr>
          </w:p>
        </w:tc>
        <w:tc>
          <w:tcPr>
            <w:tcW w:w="1668" w:type="dxa"/>
            <w:shd w:val="clear" w:color="auto" w:fill="auto"/>
          </w:tcPr>
          <w:p w:rsidR="002A72E8" w:rsidRDefault="002A72E8">
            <w:pPr>
              <w:rPr>
                <w:color w:val="000000" w:themeColor="text1"/>
                <w:sz w:val="28"/>
              </w:rPr>
            </w:pPr>
          </w:p>
        </w:tc>
        <w:tc>
          <w:tcPr>
            <w:tcW w:w="2224" w:type="dxa"/>
            <w:shd w:val="clear" w:color="auto" w:fill="auto"/>
          </w:tcPr>
          <w:p w:rsidR="002A72E8" w:rsidRDefault="002A72E8">
            <w:pPr>
              <w:rPr>
                <w:color w:val="000000" w:themeColor="text1"/>
                <w:sz w:val="28"/>
              </w:rPr>
            </w:pPr>
          </w:p>
        </w:tc>
        <w:tc>
          <w:tcPr>
            <w:tcW w:w="3882" w:type="dxa"/>
            <w:shd w:val="clear" w:color="auto" w:fill="auto"/>
          </w:tcPr>
          <w:p w:rsidR="002A72E8" w:rsidRDefault="002A72E8">
            <w:pPr>
              <w:rPr>
                <w:color w:val="000000" w:themeColor="text1"/>
                <w:sz w:val="28"/>
              </w:rPr>
            </w:pPr>
          </w:p>
        </w:tc>
      </w:tr>
    </w:tbl>
    <w:p w:rsidR="002A72E8" w:rsidRDefault="002A72E8">
      <w:pPr>
        <w:spacing w:line="276" w:lineRule="auto"/>
        <w:rPr>
          <w:sz w:val="28"/>
        </w:rPr>
      </w:pPr>
    </w:p>
    <w:sectPr w:rsidR="002A72E8" w:rsidSect="002A72E8">
      <w:headerReference w:type="default" r:id="rId8"/>
      <w:pgSz w:w="16838" w:h="11906" w:orient="landscape"/>
      <w:pgMar w:top="1701" w:right="1134" w:bottom="567" w:left="1134" w:header="709" w:footer="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755D" w:rsidRDefault="0057755D" w:rsidP="002A72E8">
      <w:r>
        <w:separator/>
      </w:r>
    </w:p>
  </w:endnote>
  <w:endnote w:type="continuationSeparator" w:id="1">
    <w:p w:rsidR="0057755D" w:rsidRDefault="0057755D" w:rsidP="002A72E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XO Thames">
    <w:panose1 w:val="02020603050405020304"/>
    <w:charset w:val="CC"/>
    <w:family w:val="roman"/>
    <w:pitch w:val="variable"/>
    <w:sig w:usb0="800006FF" w:usb1="0000285A" w:usb2="00000000" w:usb3="00000000" w:csb0="00000015" w:csb1="00000000"/>
  </w:font>
  <w:font w:name="Tahoma">
    <w:panose1 w:val="020B0604030504040204"/>
    <w:charset w:val="00"/>
    <w:family w:val="swiss"/>
    <w:notTrueType/>
    <w:pitch w:val="variable"/>
    <w:sig w:usb0="00000003" w:usb1="00000000" w:usb2="00000000" w:usb3="00000000" w:csb0="00000001" w:csb1="00000000"/>
  </w:font>
  <w:font w:name="Liberation Sans">
    <w:panose1 w:val="020B0604020202020204"/>
    <w:charset w:val="CC"/>
    <w:family w:val="swiss"/>
    <w:pitch w:val="variable"/>
    <w:sig w:usb0="E0000AFF" w:usb1="500078FF" w:usb2="00000021" w:usb3="00000000" w:csb0="000001B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755D" w:rsidRDefault="0057755D" w:rsidP="002A72E8">
      <w:r>
        <w:separator/>
      </w:r>
    </w:p>
  </w:footnote>
  <w:footnote w:type="continuationSeparator" w:id="1">
    <w:p w:rsidR="0057755D" w:rsidRDefault="0057755D" w:rsidP="002A72E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72E8" w:rsidRDefault="002A72E8">
    <w:pPr>
      <w:pStyle w:val="Header"/>
      <w:jc w:val="center"/>
    </w:pPr>
  </w:p>
  <w:p w:rsidR="002A72E8" w:rsidRDefault="002A72E8">
    <w:pPr>
      <w:pStyle w:val="Header"/>
      <w:jc w:val="center"/>
    </w:pPr>
  </w:p>
  <w:p w:rsidR="002A72E8" w:rsidRDefault="00C03847">
    <w:pPr>
      <w:pStyle w:val="Header"/>
      <w:jc w:val="center"/>
      <w:rPr>
        <w:sz w:val="28"/>
      </w:rPr>
    </w:pPr>
    <w:r>
      <w:rPr>
        <w:sz w:val="28"/>
      </w:rPr>
      <w:fldChar w:fldCharType="begin"/>
    </w:r>
    <w:r w:rsidR="00EB5F34">
      <w:rPr>
        <w:sz w:val="28"/>
      </w:rPr>
      <w:instrText xml:space="preserve">PAGE </w:instrText>
    </w:r>
    <w:r>
      <w:rPr>
        <w:sz w:val="28"/>
      </w:rPr>
      <w:fldChar w:fldCharType="separate"/>
    </w:r>
    <w:r w:rsidR="00D65B72">
      <w:rPr>
        <w:noProof/>
        <w:sz w:val="28"/>
      </w:rPr>
      <w:t>6</w:t>
    </w:r>
    <w:r>
      <w:rPr>
        <w:sz w:val="28"/>
      </w:rPr>
      <w:fldChar w:fldCharType="end"/>
    </w:r>
  </w:p>
  <w:p w:rsidR="002A72E8" w:rsidRDefault="002A72E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72E8" w:rsidRDefault="00C03847">
    <w:pPr>
      <w:pStyle w:val="Header"/>
      <w:jc w:val="center"/>
    </w:pPr>
    <w:r>
      <w:fldChar w:fldCharType="begin"/>
    </w:r>
    <w:r w:rsidR="00EB5F34">
      <w:instrText xml:space="preserve">PAGE </w:instrText>
    </w:r>
    <w:r>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2A72E8"/>
    <w:rsid w:val="002A72E8"/>
    <w:rsid w:val="0057755D"/>
    <w:rsid w:val="005A7C8A"/>
    <w:rsid w:val="007C2A89"/>
    <w:rsid w:val="00C03847"/>
    <w:rsid w:val="00CF0955"/>
    <w:rsid w:val="00D65B72"/>
    <w:rsid w:val="00EB5F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2A72E8"/>
    <w:rPr>
      <w:rFonts w:ascii="Times New Roman" w:hAnsi="Times New Roman"/>
      <w:sz w:val="24"/>
    </w:rPr>
  </w:style>
  <w:style w:type="paragraph" w:styleId="10">
    <w:name w:val="heading 1"/>
    <w:next w:val="a"/>
    <w:link w:val="11"/>
    <w:uiPriority w:val="9"/>
    <w:qFormat/>
    <w:rsid w:val="002A72E8"/>
    <w:pPr>
      <w:spacing w:before="120" w:after="120"/>
      <w:jc w:val="both"/>
      <w:outlineLvl w:val="0"/>
    </w:pPr>
    <w:rPr>
      <w:rFonts w:ascii="XO Thames" w:hAnsi="XO Thames"/>
      <w:b/>
      <w:sz w:val="32"/>
    </w:rPr>
  </w:style>
  <w:style w:type="paragraph" w:styleId="2">
    <w:name w:val="heading 2"/>
    <w:next w:val="a"/>
    <w:link w:val="20"/>
    <w:uiPriority w:val="9"/>
    <w:qFormat/>
    <w:rsid w:val="002A72E8"/>
    <w:pPr>
      <w:spacing w:before="120" w:after="120"/>
      <w:jc w:val="both"/>
      <w:outlineLvl w:val="1"/>
    </w:pPr>
    <w:rPr>
      <w:rFonts w:ascii="XO Thames" w:hAnsi="XO Thames"/>
      <w:b/>
      <w:sz w:val="28"/>
    </w:rPr>
  </w:style>
  <w:style w:type="paragraph" w:styleId="3">
    <w:name w:val="heading 3"/>
    <w:next w:val="a"/>
    <w:link w:val="30"/>
    <w:uiPriority w:val="9"/>
    <w:qFormat/>
    <w:rsid w:val="002A72E8"/>
    <w:pPr>
      <w:spacing w:before="120" w:after="120"/>
      <w:jc w:val="both"/>
      <w:outlineLvl w:val="2"/>
    </w:pPr>
    <w:rPr>
      <w:rFonts w:ascii="XO Thames" w:hAnsi="XO Thames"/>
      <w:b/>
      <w:sz w:val="26"/>
    </w:rPr>
  </w:style>
  <w:style w:type="paragraph" w:styleId="4">
    <w:name w:val="heading 4"/>
    <w:next w:val="a"/>
    <w:link w:val="40"/>
    <w:uiPriority w:val="9"/>
    <w:qFormat/>
    <w:rsid w:val="002A72E8"/>
    <w:pPr>
      <w:spacing w:before="120" w:after="120"/>
      <w:jc w:val="both"/>
      <w:outlineLvl w:val="3"/>
    </w:pPr>
    <w:rPr>
      <w:rFonts w:ascii="XO Thames" w:hAnsi="XO Thames"/>
      <w:b/>
      <w:sz w:val="24"/>
    </w:rPr>
  </w:style>
  <w:style w:type="paragraph" w:styleId="5">
    <w:name w:val="heading 5"/>
    <w:next w:val="a"/>
    <w:link w:val="50"/>
    <w:uiPriority w:val="9"/>
    <w:qFormat/>
    <w:rsid w:val="002A72E8"/>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2A72E8"/>
    <w:rPr>
      <w:rFonts w:ascii="Times New Roman" w:hAnsi="Times New Roman"/>
      <w:sz w:val="24"/>
    </w:rPr>
  </w:style>
  <w:style w:type="paragraph" w:customStyle="1" w:styleId="a3">
    <w:name w:val="Текст примечания Знак"/>
    <w:basedOn w:val="12"/>
    <w:link w:val="a4"/>
    <w:rsid w:val="002A72E8"/>
  </w:style>
  <w:style w:type="character" w:customStyle="1" w:styleId="a4">
    <w:name w:val="Текст примечания Знак"/>
    <w:basedOn w:val="a0"/>
    <w:link w:val="a3"/>
    <w:rsid w:val="002A72E8"/>
    <w:rPr>
      <w:sz w:val="20"/>
    </w:rPr>
  </w:style>
  <w:style w:type="paragraph" w:styleId="a5">
    <w:name w:val="Balloon Text"/>
    <w:basedOn w:val="a"/>
    <w:link w:val="13"/>
    <w:rsid w:val="002A72E8"/>
    <w:rPr>
      <w:rFonts w:ascii="Tahoma" w:hAnsi="Tahoma"/>
      <w:sz w:val="16"/>
    </w:rPr>
  </w:style>
  <w:style w:type="character" w:customStyle="1" w:styleId="13">
    <w:name w:val="Текст выноски Знак1"/>
    <w:basedOn w:val="1"/>
    <w:link w:val="a5"/>
    <w:rsid w:val="002A72E8"/>
    <w:rPr>
      <w:rFonts w:ascii="Tahoma" w:hAnsi="Tahoma"/>
      <w:sz w:val="16"/>
    </w:rPr>
  </w:style>
  <w:style w:type="paragraph" w:styleId="21">
    <w:name w:val="toc 2"/>
    <w:next w:val="a"/>
    <w:link w:val="22"/>
    <w:uiPriority w:val="39"/>
    <w:rsid w:val="002A72E8"/>
    <w:pPr>
      <w:ind w:left="200"/>
    </w:pPr>
    <w:rPr>
      <w:rFonts w:ascii="XO Thames" w:hAnsi="XO Thames"/>
      <w:sz w:val="28"/>
    </w:rPr>
  </w:style>
  <w:style w:type="character" w:customStyle="1" w:styleId="22">
    <w:name w:val="Оглавление 2 Знак"/>
    <w:link w:val="21"/>
    <w:rsid w:val="002A72E8"/>
    <w:rPr>
      <w:rFonts w:ascii="XO Thames" w:hAnsi="XO Thames"/>
      <w:sz w:val="28"/>
    </w:rPr>
  </w:style>
  <w:style w:type="paragraph" w:customStyle="1" w:styleId="Footer">
    <w:name w:val="Footer"/>
    <w:basedOn w:val="a"/>
    <w:link w:val="Footer0"/>
    <w:rsid w:val="002A72E8"/>
    <w:pPr>
      <w:tabs>
        <w:tab w:val="center" w:pos="4677"/>
        <w:tab w:val="right" w:pos="9355"/>
      </w:tabs>
    </w:pPr>
  </w:style>
  <w:style w:type="character" w:customStyle="1" w:styleId="Footer0">
    <w:name w:val="Footer"/>
    <w:basedOn w:val="1"/>
    <w:link w:val="Footer"/>
    <w:rsid w:val="002A72E8"/>
  </w:style>
  <w:style w:type="paragraph" w:customStyle="1" w:styleId="docdata">
    <w:name w:val="docdata"/>
    <w:basedOn w:val="a"/>
    <w:link w:val="docdata0"/>
    <w:rsid w:val="002A72E8"/>
    <w:pPr>
      <w:spacing w:beforeAutospacing="1" w:afterAutospacing="1"/>
    </w:pPr>
  </w:style>
  <w:style w:type="character" w:customStyle="1" w:styleId="docdata0">
    <w:name w:val="docdata"/>
    <w:basedOn w:val="1"/>
    <w:link w:val="docdata"/>
    <w:rsid w:val="002A72E8"/>
  </w:style>
  <w:style w:type="paragraph" w:styleId="41">
    <w:name w:val="toc 4"/>
    <w:next w:val="a"/>
    <w:link w:val="42"/>
    <w:uiPriority w:val="39"/>
    <w:rsid w:val="002A72E8"/>
    <w:pPr>
      <w:ind w:left="600"/>
    </w:pPr>
    <w:rPr>
      <w:rFonts w:ascii="XO Thames" w:hAnsi="XO Thames"/>
      <w:sz w:val="28"/>
    </w:rPr>
  </w:style>
  <w:style w:type="character" w:customStyle="1" w:styleId="42">
    <w:name w:val="Оглавление 4 Знак"/>
    <w:link w:val="41"/>
    <w:rsid w:val="002A72E8"/>
    <w:rPr>
      <w:rFonts w:ascii="XO Thames" w:hAnsi="XO Thames"/>
      <w:sz w:val="28"/>
    </w:rPr>
  </w:style>
  <w:style w:type="paragraph" w:styleId="6">
    <w:name w:val="toc 6"/>
    <w:next w:val="a"/>
    <w:link w:val="60"/>
    <w:uiPriority w:val="39"/>
    <w:rsid w:val="002A72E8"/>
    <w:pPr>
      <w:ind w:left="1000"/>
    </w:pPr>
    <w:rPr>
      <w:rFonts w:ascii="XO Thames" w:hAnsi="XO Thames"/>
      <w:sz w:val="28"/>
    </w:rPr>
  </w:style>
  <w:style w:type="character" w:customStyle="1" w:styleId="60">
    <w:name w:val="Оглавление 6 Знак"/>
    <w:link w:val="6"/>
    <w:rsid w:val="002A72E8"/>
    <w:rPr>
      <w:rFonts w:ascii="XO Thames" w:hAnsi="XO Thames"/>
      <w:sz w:val="28"/>
    </w:rPr>
  </w:style>
  <w:style w:type="paragraph" w:styleId="7">
    <w:name w:val="toc 7"/>
    <w:next w:val="a"/>
    <w:link w:val="70"/>
    <w:uiPriority w:val="39"/>
    <w:rsid w:val="002A72E8"/>
    <w:pPr>
      <w:ind w:left="1200"/>
    </w:pPr>
    <w:rPr>
      <w:rFonts w:ascii="XO Thames" w:hAnsi="XO Thames"/>
      <w:sz w:val="28"/>
    </w:rPr>
  </w:style>
  <w:style w:type="character" w:customStyle="1" w:styleId="70">
    <w:name w:val="Оглавление 7 Знак"/>
    <w:link w:val="7"/>
    <w:rsid w:val="002A72E8"/>
    <w:rPr>
      <w:rFonts w:ascii="XO Thames" w:hAnsi="XO Thames"/>
      <w:sz w:val="28"/>
    </w:rPr>
  </w:style>
  <w:style w:type="paragraph" w:customStyle="1" w:styleId="a6">
    <w:name w:val="Абзац списка Знак"/>
    <w:link w:val="a7"/>
    <w:rsid w:val="002A72E8"/>
    <w:rPr>
      <w:rFonts w:ascii="Times New Roman" w:hAnsi="Times New Roman"/>
      <w:sz w:val="28"/>
    </w:rPr>
  </w:style>
  <w:style w:type="character" w:customStyle="1" w:styleId="a7">
    <w:name w:val="Абзац списка Знак"/>
    <w:link w:val="a6"/>
    <w:rsid w:val="002A72E8"/>
    <w:rPr>
      <w:rFonts w:ascii="Times New Roman" w:hAnsi="Times New Roman"/>
      <w:color w:val="000000"/>
      <w:sz w:val="28"/>
    </w:rPr>
  </w:style>
  <w:style w:type="paragraph" w:customStyle="1" w:styleId="Endnote">
    <w:name w:val="Endnote"/>
    <w:link w:val="Endnote0"/>
    <w:rsid w:val="002A72E8"/>
    <w:pPr>
      <w:ind w:firstLine="851"/>
      <w:jc w:val="both"/>
    </w:pPr>
    <w:rPr>
      <w:rFonts w:ascii="XO Thames" w:hAnsi="XO Thames"/>
      <w:sz w:val="22"/>
    </w:rPr>
  </w:style>
  <w:style w:type="character" w:customStyle="1" w:styleId="Endnote0">
    <w:name w:val="Endnote"/>
    <w:link w:val="Endnote"/>
    <w:rsid w:val="002A72E8"/>
    <w:rPr>
      <w:rFonts w:ascii="XO Thames" w:hAnsi="XO Thames"/>
      <w:sz w:val="22"/>
    </w:rPr>
  </w:style>
  <w:style w:type="character" w:customStyle="1" w:styleId="30">
    <w:name w:val="Заголовок 3 Знак"/>
    <w:link w:val="3"/>
    <w:rsid w:val="002A72E8"/>
    <w:rPr>
      <w:rFonts w:ascii="XO Thames" w:hAnsi="XO Thames"/>
      <w:b/>
      <w:sz w:val="26"/>
    </w:rPr>
  </w:style>
  <w:style w:type="paragraph" w:customStyle="1" w:styleId="a8">
    <w:name w:val="Заголовок"/>
    <w:basedOn w:val="a"/>
    <w:next w:val="a9"/>
    <w:link w:val="aa"/>
    <w:rsid w:val="002A72E8"/>
    <w:pPr>
      <w:keepNext/>
      <w:spacing w:before="240" w:after="120"/>
    </w:pPr>
    <w:rPr>
      <w:rFonts w:ascii="Liberation Sans" w:hAnsi="Liberation Sans"/>
      <w:sz w:val="28"/>
    </w:rPr>
  </w:style>
  <w:style w:type="character" w:customStyle="1" w:styleId="aa">
    <w:name w:val="Заголовок"/>
    <w:basedOn w:val="1"/>
    <w:link w:val="a8"/>
    <w:rsid w:val="002A72E8"/>
    <w:rPr>
      <w:rFonts w:ascii="Liberation Sans" w:hAnsi="Liberation Sans"/>
      <w:sz w:val="28"/>
    </w:rPr>
  </w:style>
  <w:style w:type="paragraph" w:customStyle="1" w:styleId="ab">
    <w:name w:val="Символ сноски"/>
    <w:link w:val="ac"/>
    <w:rsid w:val="002A72E8"/>
  </w:style>
  <w:style w:type="character" w:customStyle="1" w:styleId="ac">
    <w:name w:val="Символ сноски"/>
    <w:link w:val="ab"/>
    <w:rsid w:val="002A72E8"/>
  </w:style>
  <w:style w:type="paragraph" w:customStyle="1" w:styleId="Header">
    <w:name w:val="Header"/>
    <w:basedOn w:val="a"/>
    <w:link w:val="Header0"/>
    <w:rsid w:val="002A72E8"/>
    <w:pPr>
      <w:tabs>
        <w:tab w:val="center" w:pos="4677"/>
        <w:tab w:val="right" w:pos="9355"/>
      </w:tabs>
    </w:pPr>
  </w:style>
  <w:style w:type="character" w:customStyle="1" w:styleId="Header0">
    <w:name w:val="Header"/>
    <w:basedOn w:val="1"/>
    <w:link w:val="Header"/>
    <w:rsid w:val="002A72E8"/>
  </w:style>
  <w:style w:type="paragraph" w:customStyle="1" w:styleId="ad">
    <w:name w:val="Текст выноски Знак"/>
    <w:basedOn w:val="12"/>
    <w:link w:val="ae"/>
    <w:rsid w:val="002A72E8"/>
    <w:rPr>
      <w:rFonts w:ascii="Tahoma" w:hAnsi="Tahoma"/>
      <w:sz w:val="16"/>
    </w:rPr>
  </w:style>
  <w:style w:type="character" w:customStyle="1" w:styleId="ae">
    <w:name w:val="Текст выноски Знак"/>
    <w:basedOn w:val="a0"/>
    <w:link w:val="ad"/>
    <w:rsid w:val="002A72E8"/>
    <w:rPr>
      <w:rFonts w:ascii="Tahoma" w:hAnsi="Tahoma"/>
      <w:sz w:val="16"/>
    </w:rPr>
  </w:style>
  <w:style w:type="paragraph" w:customStyle="1" w:styleId="Caption">
    <w:name w:val="Caption"/>
    <w:basedOn w:val="a"/>
    <w:link w:val="Caption0"/>
    <w:rsid w:val="002A72E8"/>
    <w:pPr>
      <w:spacing w:before="120" w:after="120"/>
    </w:pPr>
    <w:rPr>
      <w:i/>
    </w:rPr>
  </w:style>
  <w:style w:type="character" w:customStyle="1" w:styleId="Caption0">
    <w:name w:val="Caption"/>
    <w:basedOn w:val="1"/>
    <w:link w:val="Caption"/>
    <w:rsid w:val="002A72E8"/>
    <w:rPr>
      <w:i/>
    </w:rPr>
  </w:style>
  <w:style w:type="paragraph" w:styleId="af">
    <w:name w:val="List Paragraph"/>
    <w:basedOn w:val="a"/>
    <w:link w:val="14"/>
    <w:rsid w:val="002A72E8"/>
    <w:pPr>
      <w:spacing w:after="16" w:line="384" w:lineRule="auto"/>
      <w:ind w:left="720" w:right="2" w:firstLine="710"/>
      <w:contextualSpacing/>
      <w:jc w:val="both"/>
    </w:pPr>
    <w:rPr>
      <w:sz w:val="28"/>
    </w:rPr>
  </w:style>
  <w:style w:type="character" w:customStyle="1" w:styleId="14">
    <w:name w:val="Абзац списка Знак1"/>
    <w:basedOn w:val="1"/>
    <w:link w:val="af"/>
    <w:rsid w:val="002A72E8"/>
    <w:rPr>
      <w:color w:val="000000"/>
      <w:sz w:val="28"/>
    </w:rPr>
  </w:style>
  <w:style w:type="paragraph" w:customStyle="1" w:styleId="af0">
    <w:name w:val="Заголовок таблицы"/>
    <w:basedOn w:val="af1"/>
    <w:link w:val="af2"/>
    <w:rsid w:val="002A72E8"/>
    <w:pPr>
      <w:jc w:val="center"/>
    </w:pPr>
    <w:rPr>
      <w:b/>
    </w:rPr>
  </w:style>
  <w:style w:type="character" w:customStyle="1" w:styleId="af2">
    <w:name w:val="Заголовок таблицы"/>
    <w:basedOn w:val="af3"/>
    <w:link w:val="af0"/>
    <w:rsid w:val="002A72E8"/>
    <w:rPr>
      <w:b/>
    </w:rPr>
  </w:style>
  <w:style w:type="paragraph" w:styleId="31">
    <w:name w:val="toc 3"/>
    <w:next w:val="a"/>
    <w:link w:val="32"/>
    <w:uiPriority w:val="39"/>
    <w:rsid w:val="002A72E8"/>
    <w:pPr>
      <w:ind w:left="400"/>
    </w:pPr>
    <w:rPr>
      <w:rFonts w:ascii="XO Thames" w:hAnsi="XO Thames"/>
      <w:sz w:val="28"/>
    </w:rPr>
  </w:style>
  <w:style w:type="character" w:customStyle="1" w:styleId="32">
    <w:name w:val="Оглавление 3 Знак"/>
    <w:link w:val="31"/>
    <w:rsid w:val="002A72E8"/>
    <w:rPr>
      <w:rFonts w:ascii="XO Thames" w:hAnsi="XO Thames"/>
      <w:sz w:val="28"/>
    </w:rPr>
  </w:style>
  <w:style w:type="paragraph" w:styleId="af4">
    <w:name w:val="annotation text"/>
    <w:basedOn w:val="a"/>
    <w:link w:val="15"/>
    <w:rsid w:val="002A72E8"/>
    <w:pPr>
      <w:spacing w:after="160"/>
    </w:pPr>
    <w:rPr>
      <w:rFonts w:asciiTheme="minorHAnsi" w:hAnsiTheme="minorHAnsi"/>
      <w:sz w:val="20"/>
    </w:rPr>
  </w:style>
  <w:style w:type="character" w:customStyle="1" w:styleId="15">
    <w:name w:val="Текст примечания Знак1"/>
    <w:basedOn w:val="1"/>
    <w:link w:val="af4"/>
    <w:rsid w:val="002A72E8"/>
    <w:rPr>
      <w:rFonts w:asciiTheme="minorHAnsi" w:hAnsiTheme="minorHAnsi"/>
      <w:sz w:val="20"/>
    </w:rPr>
  </w:style>
  <w:style w:type="paragraph" w:customStyle="1" w:styleId="af5">
    <w:name w:val="Текст сноски Знак"/>
    <w:basedOn w:val="12"/>
    <w:link w:val="af6"/>
    <w:rsid w:val="002A72E8"/>
    <w:rPr>
      <w:rFonts w:ascii="Times New Roman" w:hAnsi="Times New Roman"/>
    </w:rPr>
  </w:style>
  <w:style w:type="character" w:customStyle="1" w:styleId="af6">
    <w:name w:val="Текст сноски Знак"/>
    <w:basedOn w:val="a0"/>
    <w:link w:val="af5"/>
    <w:rsid w:val="002A72E8"/>
    <w:rPr>
      <w:rFonts w:ascii="Times New Roman" w:hAnsi="Times New Roman"/>
      <w:color w:val="000000"/>
      <w:sz w:val="20"/>
    </w:rPr>
  </w:style>
  <w:style w:type="character" w:customStyle="1" w:styleId="50">
    <w:name w:val="Заголовок 5 Знак"/>
    <w:link w:val="5"/>
    <w:rsid w:val="002A72E8"/>
    <w:rPr>
      <w:rFonts w:ascii="XO Thames" w:hAnsi="XO Thames"/>
      <w:b/>
      <w:sz w:val="22"/>
    </w:rPr>
  </w:style>
  <w:style w:type="paragraph" w:customStyle="1" w:styleId="af7">
    <w:name w:val="Нижний колонтитул Знак"/>
    <w:basedOn w:val="12"/>
    <w:link w:val="af8"/>
    <w:rsid w:val="002A72E8"/>
    <w:rPr>
      <w:rFonts w:ascii="Times New Roman" w:hAnsi="Times New Roman"/>
      <w:sz w:val="24"/>
    </w:rPr>
  </w:style>
  <w:style w:type="character" w:customStyle="1" w:styleId="af8">
    <w:name w:val="Нижний колонтитул Знак"/>
    <w:basedOn w:val="a0"/>
    <w:link w:val="af7"/>
    <w:rsid w:val="002A72E8"/>
    <w:rPr>
      <w:rFonts w:ascii="Times New Roman" w:hAnsi="Times New Roman"/>
      <w:sz w:val="24"/>
    </w:rPr>
  </w:style>
  <w:style w:type="paragraph" w:customStyle="1" w:styleId="af9">
    <w:name w:val="Символ нумерации"/>
    <w:link w:val="afa"/>
    <w:rsid w:val="002A72E8"/>
  </w:style>
  <w:style w:type="character" w:customStyle="1" w:styleId="afa">
    <w:name w:val="Символ нумерации"/>
    <w:link w:val="af9"/>
    <w:rsid w:val="002A72E8"/>
  </w:style>
  <w:style w:type="character" w:customStyle="1" w:styleId="11">
    <w:name w:val="Заголовок 1 Знак"/>
    <w:link w:val="10"/>
    <w:rsid w:val="002A72E8"/>
    <w:rPr>
      <w:rFonts w:ascii="XO Thames" w:hAnsi="XO Thames"/>
      <w:b/>
      <w:sz w:val="32"/>
    </w:rPr>
  </w:style>
  <w:style w:type="paragraph" w:customStyle="1" w:styleId="16">
    <w:name w:val="Гиперссылка1"/>
    <w:link w:val="afb"/>
    <w:rsid w:val="002A72E8"/>
    <w:rPr>
      <w:color w:val="0000FF"/>
      <w:u w:val="single"/>
    </w:rPr>
  </w:style>
  <w:style w:type="character" w:styleId="afb">
    <w:name w:val="Hyperlink"/>
    <w:link w:val="16"/>
    <w:rsid w:val="002A72E8"/>
    <w:rPr>
      <w:color w:val="0000FF"/>
      <w:u w:val="single"/>
    </w:rPr>
  </w:style>
  <w:style w:type="paragraph" w:customStyle="1" w:styleId="Footnote">
    <w:name w:val="Footnote"/>
    <w:basedOn w:val="a"/>
    <w:link w:val="Footnote0"/>
    <w:rsid w:val="002A72E8"/>
    <w:pPr>
      <w:ind w:right="2" w:firstLine="710"/>
      <w:jc w:val="both"/>
    </w:pPr>
    <w:rPr>
      <w:sz w:val="20"/>
    </w:rPr>
  </w:style>
  <w:style w:type="character" w:customStyle="1" w:styleId="Footnote0">
    <w:name w:val="Footnote"/>
    <w:basedOn w:val="1"/>
    <w:link w:val="Footnote"/>
    <w:rsid w:val="002A72E8"/>
    <w:rPr>
      <w:color w:val="000000"/>
      <w:sz w:val="20"/>
    </w:rPr>
  </w:style>
  <w:style w:type="paragraph" w:styleId="17">
    <w:name w:val="toc 1"/>
    <w:next w:val="a"/>
    <w:link w:val="18"/>
    <w:uiPriority w:val="39"/>
    <w:rsid w:val="002A72E8"/>
    <w:rPr>
      <w:rFonts w:ascii="XO Thames" w:hAnsi="XO Thames"/>
      <w:b/>
      <w:sz w:val="28"/>
    </w:rPr>
  </w:style>
  <w:style w:type="character" w:customStyle="1" w:styleId="18">
    <w:name w:val="Оглавление 1 Знак"/>
    <w:link w:val="17"/>
    <w:rsid w:val="002A72E8"/>
    <w:rPr>
      <w:rFonts w:ascii="XO Thames" w:hAnsi="XO Thames"/>
      <w:b/>
      <w:sz w:val="28"/>
    </w:rPr>
  </w:style>
  <w:style w:type="paragraph" w:customStyle="1" w:styleId="HeaderandFooter">
    <w:name w:val="Header and Footer"/>
    <w:link w:val="HeaderandFooter0"/>
    <w:rsid w:val="002A72E8"/>
    <w:pPr>
      <w:jc w:val="both"/>
    </w:pPr>
    <w:rPr>
      <w:rFonts w:ascii="XO Thames" w:hAnsi="XO Thames"/>
      <w:sz w:val="28"/>
    </w:rPr>
  </w:style>
  <w:style w:type="character" w:customStyle="1" w:styleId="HeaderandFooter0">
    <w:name w:val="Header and Footer"/>
    <w:link w:val="HeaderandFooter"/>
    <w:rsid w:val="002A72E8"/>
    <w:rPr>
      <w:rFonts w:ascii="XO Thames" w:hAnsi="XO Thames"/>
      <w:sz w:val="28"/>
    </w:rPr>
  </w:style>
  <w:style w:type="paragraph" w:customStyle="1" w:styleId="consplustitle">
    <w:name w:val="consplustitle"/>
    <w:basedOn w:val="a"/>
    <w:link w:val="consplustitle0"/>
    <w:rsid w:val="002A72E8"/>
    <w:pPr>
      <w:spacing w:beforeAutospacing="1" w:afterAutospacing="1"/>
      <w:jc w:val="both"/>
    </w:pPr>
  </w:style>
  <w:style w:type="character" w:customStyle="1" w:styleId="consplustitle0">
    <w:name w:val="consplustitle"/>
    <w:basedOn w:val="1"/>
    <w:link w:val="consplustitle"/>
    <w:rsid w:val="002A72E8"/>
  </w:style>
  <w:style w:type="paragraph" w:styleId="9">
    <w:name w:val="toc 9"/>
    <w:next w:val="a"/>
    <w:link w:val="90"/>
    <w:uiPriority w:val="39"/>
    <w:rsid w:val="002A72E8"/>
    <w:pPr>
      <w:ind w:left="1600"/>
    </w:pPr>
    <w:rPr>
      <w:rFonts w:ascii="XO Thames" w:hAnsi="XO Thames"/>
      <w:sz w:val="28"/>
    </w:rPr>
  </w:style>
  <w:style w:type="character" w:customStyle="1" w:styleId="90">
    <w:name w:val="Оглавление 9 Знак"/>
    <w:link w:val="9"/>
    <w:rsid w:val="002A72E8"/>
    <w:rPr>
      <w:rFonts w:ascii="XO Thames" w:hAnsi="XO Thames"/>
      <w:sz w:val="28"/>
    </w:rPr>
  </w:style>
  <w:style w:type="paragraph" w:customStyle="1" w:styleId="afc">
    <w:name w:val="Верхний колонтитул Знак"/>
    <w:basedOn w:val="12"/>
    <w:link w:val="afd"/>
    <w:rsid w:val="002A72E8"/>
    <w:rPr>
      <w:rFonts w:ascii="Times New Roman" w:hAnsi="Times New Roman"/>
      <w:sz w:val="24"/>
    </w:rPr>
  </w:style>
  <w:style w:type="character" w:customStyle="1" w:styleId="afd">
    <w:name w:val="Верхний колонтитул Знак"/>
    <w:basedOn w:val="a0"/>
    <w:link w:val="afc"/>
    <w:rsid w:val="002A72E8"/>
    <w:rPr>
      <w:rFonts w:ascii="Times New Roman" w:hAnsi="Times New Roman"/>
      <w:sz w:val="24"/>
    </w:rPr>
  </w:style>
  <w:style w:type="paragraph" w:styleId="afe">
    <w:name w:val="List"/>
    <w:basedOn w:val="a9"/>
    <w:link w:val="aff"/>
    <w:rsid w:val="002A72E8"/>
  </w:style>
  <w:style w:type="character" w:customStyle="1" w:styleId="aff">
    <w:name w:val="Список Знак"/>
    <w:basedOn w:val="aff0"/>
    <w:link w:val="afe"/>
    <w:rsid w:val="002A72E8"/>
  </w:style>
  <w:style w:type="paragraph" w:styleId="8">
    <w:name w:val="toc 8"/>
    <w:next w:val="a"/>
    <w:link w:val="80"/>
    <w:uiPriority w:val="39"/>
    <w:rsid w:val="002A72E8"/>
    <w:pPr>
      <w:ind w:left="1400"/>
    </w:pPr>
    <w:rPr>
      <w:rFonts w:ascii="XO Thames" w:hAnsi="XO Thames"/>
      <w:sz w:val="28"/>
    </w:rPr>
  </w:style>
  <w:style w:type="character" w:customStyle="1" w:styleId="80">
    <w:name w:val="Оглавление 8 Знак"/>
    <w:link w:val="8"/>
    <w:rsid w:val="002A72E8"/>
    <w:rPr>
      <w:rFonts w:ascii="XO Thames" w:hAnsi="XO Thames"/>
      <w:sz w:val="28"/>
    </w:rPr>
  </w:style>
  <w:style w:type="paragraph" w:customStyle="1" w:styleId="FootnoteCharacters">
    <w:name w:val="Footnote Characters"/>
    <w:basedOn w:val="12"/>
    <w:link w:val="FootnoteCharacters0"/>
    <w:rsid w:val="002A72E8"/>
    <w:rPr>
      <w:vertAlign w:val="superscript"/>
    </w:rPr>
  </w:style>
  <w:style w:type="character" w:customStyle="1" w:styleId="FootnoteCharacters0">
    <w:name w:val="Footnote Characters"/>
    <w:basedOn w:val="a0"/>
    <w:link w:val="FootnoteCharacters"/>
    <w:rsid w:val="002A72E8"/>
    <w:rPr>
      <w:vertAlign w:val="superscript"/>
    </w:rPr>
  </w:style>
  <w:style w:type="paragraph" w:customStyle="1" w:styleId="aff1">
    <w:name w:val="Привязка сноски"/>
    <w:link w:val="aff2"/>
    <w:rsid w:val="002A72E8"/>
    <w:rPr>
      <w:vertAlign w:val="superscript"/>
    </w:rPr>
  </w:style>
  <w:style w:type="character" w:customStyle="1" w:styleId="aff2">
    <w:name w:val="Привязка сноски"/>
    <w:link w:val="aff1"/>
    <w:rsid w:val="002A72E8"/>
    <w:rPr>
      <w:vertAlign w:val="superscript"/>
    </w:rPr>
  </w:style>
  <w:style w:type="paragraph" w:styleId="51">
    <w:name w:val="toc 5"/>
    <w:next w:val="a"/>
    <w:link w:val="52"/>
    <w:uiPriority w:val="39"/>
    <w:rsid w:val="002A72E8"/>
    <w:pPr>
      <w:ind w:left="800"/>
    </w:pPr>
    <w:rPr>
      <w:rFonts w:ascii="XO Thames" w:hAnsi="XO Thames"/>
      <w:sz w:val="28"/>
    </w:rPr>
  </w:style>
  <w:style w:type="character" w:customStyle="1" w:styleId="52">
    <w:name w:val="Оглавление 5 Знак"/>
    <w:link w:val="51"/>
    <w:rsid w:val="002A72E8"/>
    <w:rPr>
      <w:rFonts w:ascii="XO Thames" w:hAnsi="XO Thames"/>
      <w:sz w:val="28"/>
    </w:rPr>
  </w:style>
  <w:style w:type="paragraph" w:styleId="aff3">
    <w:name w:val="index heading"/>
    <w:basedOn w:val="a"/>
    <w:link w:val="aff4"/>
    <w:rsid w:val="002A72E8"/>
  </w:style>
  <w:style w:type="character" w:customStyle="1" w:styleId="aff4">
    <w:name w:val="Указатель Знак"/>
    <w:basedOn w:val="1"/>
    <w:link w:val="aff3"/>
    <w:rsid w:val="002A72E8"/>
  </w:style>
  <w:style w:type="paragraph" w:customStyle="1" w:styleId="19">
    <w:name w:val="Знак примечания1"/>
    <w:basedOn w:val="12"/>
    <w:link w:val="aff5"/>
    <w:rsid w:val="002A72E8"/>
    <w:rPr>
      <w:sz w:val="16"/>
    </w:rPr>
  </w:style>
  <w:style w:type="character" w:styleId="aff5">
    <w:name w:val="annotation reference"/>
    <w:basedOn w:val="a0"/>
    <w:link w:val="19"/>
    <w:rsid w:val="002A72E8"/>
    <w:rPr>
      <w:sz w:val="16"/>
    </w:rPr>
  </w:style>
  <w:style w:type="paragraph" w:styleId="a9">
    <w:name w:val="Body Text"/>
    <w:basedOn w:val="a"/>
    <w:link w:val="aff0"/>
    <w:rsid w:val="002A72E8"/>
    <w:pPr>
      <w:spacing w:after="140" w:line="276" w:lineRule="auto"/>
    </w:pPr>
  </w:style>
  <w:style w:type="character" w:customStyle="1" w:styleId="aff0">
    <w:name w:val="Основной текст Знак"/>
    <w:basedOn w:val="1"/>
    <w:link w:val="a9"/>
    <w:rsid w:val="002A72E8"/>
  </w:style>
  <w:style w:type="paragraph" w:styleId="aff6">
    <w:name w:val="Subtitle"/>
    <w:next w:val="a"/>
    <w:link w:val="aff7"/>
    <w:uiPriority w:val="11"/>
    <w:qFormat/>
    <w:rsid w:val="002A72E8"/>
    <w:pPr>
      <w:jc w:val="both"/>
    </w:pPr>
    <w:rPr>
      <w:rFonts w:ascii="XO Thames" w:hAnsi="XO Thames"/>
      <w:i/>
      <w:sz w:val="24"/>
    </w:rPr>
  </w:style>
  <w:style w:type="character" w:customStyle="1" w:styleId="aff7">
    <w:name w:val="Подзаголовок Знак"/>
    <w:link w:val="aff6"/>
    <w:rsid w:val="002A72E8"/>
    <w:rPr>
      <w:rFonts w:ascii="XO Thames" w:hAnsi="XO Thames"/>
      <w:i/>
      <w:sz w:val="24"/>
    </w:rPr>
  </w:style>
  <w:style w:type="paragraph" w:customStyle="1" w:styleId="af1">
    <w:name w:val="Содержимое таблицы"/>
    <w:basedOn w:val="a"/>
    <w:link w:val="af3"/>
    <w:rsid w:val="002A72E8"/>
  </w:style>
  <w:style w:type="character" w:customStyle="1" w:styleId="af3">
    <w:name w:val="Содержимое таблицы"/>
    <w:basedOn w:val="1"/>
    <w:link w:val="af1"/>
    <w:rsid w:val="002A72E8"/>
  </w:style>
  <w:style w:type="paragraph" w:styleId="aff8">
    <w:name w:val="Title"/>
    <w:next w:val="a"/>
    <w:link w:val="aff9"/>
    <w:uiPriority w:val="10"/>
    <w:qFormat/>
    <w:rsid w:val="002A72E8"/>
    <w:pPr>
      <w:spacing w:before="567" w:after="567"/>
      <w:jc w:val="center"/>
    </w:pPr>
    <w:rPr>
      <w:rFonts w:ascii="XO Thames" w:hAnsi="XO Thames"/>
      <w:b/>
      <w:caps/>
      <w:sz w:val="40"/>
    </w:rPr>
  </w:style>
  <w:style w:type="character" w:customStyle="1" w:styleId="aff9">
    <w:name w:val="Название Знак"/>
    <w:link w:val="aff8"/>
    <w:rsid w:val="002A72E8"/>
    <w:rPr>
      <w:rFonts w:ascii="XO Thames" w:hAnsi="XO Thames"/>
      <w:b/>
      <w:caps/>
      <w:sz w:val="40"/>
    </w:rPr>
  </w:style>
  <w:style w:type="character" w:customStyle="1" w:styleId="40">
    <w:name w:val="Заголовок 4 Знак"/>
    <w:link w:val="4"/>
    <w:rsid w:val="002A72E8"/>
    <w:rPr>
      <w:rFonts w:ascii="XO Thames" w:hAnsi="XO Thames"/>
      <w:b/>
      <w:sz w:val="24"/>
    </w:rPr>
  </w:style>
  <w:style w:type="paragraph" w:customStyle="1" w:styleId="affa">
    <w:name w:val="Верхний и нижний колонтитулы"/>
    <w:basedOn w:val="a"/>
    <w:link w:val="affb"/>
    <w:rsid w:val="002A72E8"/>
  </w:style>
  <w:style w:type="character" w:customStyle="1" w:styleId="affb">
    <w:name w:val="Верхний и нижний колонтитулы"/>
    <w:basedOn w:val="1"/>
    <w:link w:val="affa"/>
    <w:rsid w:val="002A72E8"/>
  </w:style>
  <w:style w:type="character" w:customStyle="1" w:styleId="20">
    <w:name w:val="Заголовок 2 Знак"/>
    <w:link w:val="2"/>
    <w:rsid w:val="002A72E8"/>
    <w:rPr>
      <w:rFonts w:ascii="XO Thames" w:hAnsi="XO Thames"/>
      <w:b/>
      <w:sz w:val="28"/>
    </w:rPr>
  </w:style>
  <w:style w:type="paragraph" w:customStyle="1" w:styleId="12">
    <w:name w:val="Основной шрифт абзаца1"/>
    <w:link w:val="1a"/>
    <w:rsid w:val="002A72E8"/>
  </w:style>
  <w:style w:type="paragraph" w:customStyle="1" w:styleId="1a">
    <w:name w:val="Нижний колонтитул Знак1"/>
    <w:basedOn w:val="12"/>
    <w:link w:val="1b"/>
    <w:rsid w:val="002A72E8"/>
    <w:rPr>
      <w:rFonts w:ascii="Times New Roman" w:hAnsi="Times New Roman"/>
      <w:sz w:val="24"/>
    </w:rPr>
  </w:style>
  <w:style w:type="character" w:customStyle="1" w:styleId="1b">
    <w:name w:val="Нижний колонтитул Знак1"/>
    <w:basedOn w:val="a0"/>
    <w:link w:val="1a"/>
    <w:rsid w:val="002A72E8"/>
    <w:rPr>
      <w:rFonts w:ascii="Times New Roman" w:hAnsi="Times New Roman"/>
      <w:sz w:val="24"/>
    </w:rPr>
  </w:style>
  <w:style w:type="table" w:styleId="affc">
    <w:name w:val="Table Grid"/>
    <w:basedOn w:val="a1"/>
    <w:rsid w:val="002A72E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microsoft.com/office/2007/relationships/stylesWithEffects" Target="stylesWithEffects.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2438</Words>
  <Characters>13901</Characters>
  <Application>Microsoft Office Word</Application>
  <DocSecurity>0</DocSecurity>
  <Lines>115</Lines>
  <Paragraphs>32</Paragraphs>
  <ScaleCrop>false</ScaleCrop>
  <Company>Администрация городв Ставрополя</Company>
  <LinksUpToDate>false</LinksUpToDate>
  <CharactersWithSpaces>16307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407402484</cp:lastModifiedBy>
  <cp:revision>6</cp:revision>
  <cp:lastPrinted>2025-10-20T13:01:00Z</cp:lastPrinted>
  <dcterms:created xsi:type="dcterms:W3CDTF">2024-03-19T15:14:00Z</dcterms:created>
  <dcterms:modified xsi:type="dcterms:W3CDTF">2025-10-20T13:06:00Z</dcterms:modified>
</cp:coreProperties>
</file>