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drawing>
          <wp:inline>
            <wp:extent cx="819327" cy="77089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819327" cy="770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6"/>
        </w:rPr>
        <w:t>П О С Т А Н О В Л Е Н И Е</w:t>
      </w:r>
      <w:r>
        <w:rPr>
          <w:rFonts w:ascii="Times New Roman" w:hAnsi="Times New Roman"/>
          <w:sz w:val="36"/>
        </w:rPr>
        <w:br/>
      </w:r>
      <w:r>
        <w:rPr>
          <w:rFonts w:ascii="Times New Roman" w:hAnsi="Times New Roman"/>
          <w:spacing w:val="30"/>
          <w:sz w:val="32"/>
        </w:rPr>
        <w:t>АДМИНИСТРАЦИИ ГОРОДА СТАВРОПОЛЯ</w:t>
      </w:r>
      <w:r>
        <w:rPr>
          <w:rFonts w:ascii="Times New Roman" w:hAnsi="Times New Roman"/>
          <w:spacing w:val="30"/>
          <w:sz w:val="32"/>
        </w:rPr>
        <w:br/>
      </w:r>
      <w:r>
        <w:rPr>
          <w:rFonts w:ascii="Times New Roman" w:hAnsi="Times New Roman"/>
          <w:spacing w:val="30"/>
          <w:sz w:val="32"/>
        </w:rPr>
        <w:t>СТАВРОПОЛЬСКОГО КРАЯ</w:t>
      </w:r>
    </w:p>
    <w:p w14:paraId="11000000">
      <w:pPr>
        <w:pStyle w:val="Style_2"/>
        <w:widowControl w:val="0"/>
        <w:spacing w:after="0" w:line="240" w:lineRule="auto"/>
        <w:ind/>
        <w:jc w:val="both"/>
        <w:rPr>
          <w:rFonts w:ascii="Times New Roman" w:hAnsi="Times New Roman"/>
          <w:spacing w:val="30"/>
          <w:sz w:val="32"/>
        </w:rPr>
      </w:pPr>
    </w:p>
    <w:p w14:paraId="12000000">
      <w:pPr>
        <w:pStyle w:val="Style_2"/>
        <w:widowControl w:val="0"/>
        <w:spacing w:after="0" w:line="240" w:lineRule="auto"/>
        <w:ind/>
        <w:jc w:val="both"/>
        <w:rPr>
          <w:rFonts w:ascii="Times New Roman" w:hAnsi="Times New Roman"/>
          <w:spacing w:val="30"/>
          <w:sz w:val="32"/>
        </w:rPr>
      </w:pPr>
      <w:r>
        <w:rPr>
          <w:rFonts w:ascii="Times New Roman" w:hAnsi="Times New Roman"/>
          <w:spacing w:val="30"/>
          <w:sz w:val="32"/>
        </w:rPr>
        <w:t xml:space="preserve">18.07.2025               </w:t>
      </w:r>
      <w:r>
        <w:rPr>
          <w:rFonts w:ascii="Times New Roman" w:hAnsi="Times New Roman"/>
          <w:spacing w:val="30"/>
          <w:sz w:val="32"/>
        </w:rPr>
        <w:t xml:space="preserve"> </w:t>
      </w:r>
      <w:r>
        <w:rPr>
          <w:rFonts w:ascii="Times New Roman" w:hAnsi="Times New Roman"/>
          <w:spacing w:val="30"/>
          <w:sz w:val="32"/>
        </w:rPr>
        <w:t xml:space="preserve"> г. Ставрополь                  </w:t>
      </w:r>
      <w:r>
        <w:rPr>
          <w:rFonts w:ascii="Times New Roman" w:hAnsi="Times New Roman"/>
          <w:spacing w:val="30"/>
          <w:sz w:val="32"/>
        </w:rPr>
        <w:t xml:space="preserve"> </w:t>
      </w:r>
      <w:r>
        <w:rPr>
          <w:rFonts w:ascii="Times New Roman" w:hAnsi="Times New Roman"/>
          <w:spacing w:val="30"/>
          <w:sz w:val="32"/>
        </w:rPr>
        <w:t xml:space="preserve"> </w:t>
      </w:r>
      <w:r>
        <w:rPr>
          <w:rFonts w:ascii="Times New Roman" w:hAnsi="Times New Roman"/>
          <w:spacing w:val="30"/>
          <w:sz w:val="32"/>
        </w:rPr>
        <w:t>№</w:t>
      </w:r>
      <w:r>
        <w:rPr>
          <w:rFonts w:ascii="Times New Roman" w:hAnsi="Times New Roman"/>
          <w:spacing w:val="30"/>
          <w:sz w:val="32"/>
        </w:rPr>
        <w:t xml:space="preserve"> 1518</w:t>
      </w:r>
    </w:p>
    <w:p w14:paraId="13000000">
      <w:pPr>
        <w:widowControl w:val="1"/>
        <w:tabs>
          <w:tab w:leader="none" w:pos="6379" w:val="left"/>
          <w:tab w:leader="none" w:pos="9498" w:val="left"/>
          <w:tab w:leader="none" w:pos="9639" w:val="left"/>
        </w:tabs>
        <w:spacing w:after="0" w:line="240" w:lineRule="exact"/>
        <w:ind w:left="5245"/>
        <w:rPr>
          <w:rFonts w:ascii="Times New Roman" w:hAnsi="Times New Roman"/>
          <w:sz w:val="28"/>
        </w:rPr>
      </w:pPr>
    </w:p>
    <w:p w14:paraId="14000000">
      <w:pPr>
        <w:widowControl w:val="1"/>
        <w:spacing w:line="240" w:lineRule="exact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</w:t>
      </w:r>
      <w:r>
        <w:rPr>
          <w:rFonts w:ascii="Times New Roman" w:hAnsi="Times New Roman"/>
          <w:sz w:val="28"/>
        </w:rPr>
        <w:t xml:space="preserve">порядка ведения </w:t>
      </w:r>
      <w:r>
        <w:rPr>
          <w:rFonts w:ascii="Times New Roman" w:hAnsi="Times New Roman"/>
          <w:sz w:val="28"/>
        </w:rPr>
        <w:t xml:space="preserve">реестра межведомственных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внутриведомственных процессов в </w:t>
      </w:r>
      <w:r>
        <w:rPr>
          <w:rFonts w:ascii="Times New Roman" w:hAnsi="Times New Roman"/>
          <w:sz w:val="28"/>
        </w:rPr>
        <w:t>администрации города Ставрополя, отраслевых (функциональных) и территориальных органах администрации города Ставрополя</w:t>
      </w:r>
    </w:p>
    <w:p w14:paraId="15000000">
      <w:pPr>
        <w:widowControl w:val="1"/>
        <w:spacing w:after="120" w:line="240" w:lineRule="exact"/>
        <w:ind/>
        <w:jc w:val="both"/>
        <w:outlineLvl w:val="0"/>
        <w:rPr>
          <w:rFonts w:ascii="Times New Roman" w:hAnsi="Times New Roman"/>
          <w:sz w:val="28"/>
        </w:rPr>
      </w:pPr>
    </w:p>
    <w:p w14:paraId="16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В целях реализации инициативы «Государство для людей», предусмотренной перечнем инициатив социально-экономического развития Российской Федерации до 2030 года, утвержденным распоряжением Правительств</w:t>
      </w:r>
      <w:r>
        <w:rPr>
          <w:rFonts w:ascii="Times New Roman" w:hAnsi="Times New Roman"/>
          <w:sz w:val="28"/>
        </w:rPr>
        <w:t xml:space="preserve">а Российской Федерации от 06 октября </w:t>
      </w:r>
      <w:r>
        <w:rPr>
          <w:rFonts w:ascii="Times New Roman" w:hAnsi="Times New Roman"/>
          <w:sz w:val="28"/>
        </w:rPr>
        <w:t>2021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 xml:space="preserve"> № 2816-р, федерального проекта «Государство для людей»</w:t>
      </w:r>
    </w:p>
    <w:p w14:paraId="17000000">
      <w:pPr>
        <w:widowControl w:val="0"/>
        <w:tabs>
          <w:tab w:leader="none" w:pos="994" w:val="left"/>
        </w:tabs>
        <w:spacing w:after="0" w:line="240" w:lineRule="auto"/>
        <w:ind/>
        <w:jc w:val="both"/>
        <w:rPr>
          <w:rFonts w:ascii="Times New Roman" w:hAnsi="Times New Roman"/>
          <w:spacing w:val="-1"/>
          <w:sz w:val="28"/>
        </w:rPr>
      </w:pPr>
    </w:p>
    <w:p w14:paraId="1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19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</w:p>
    <w:p w14:paraId="1A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1.</w:t>
      </w:r>
      <w:r>
        <w:rPr>
          <w:rFonts w:ascii="Times New Roman" w:hAnsi="Times New Roman"/>
          <w:spacing w:val="-1"/>
          <w:sz w:val="28"/>
        </w:rPr>
        <w:t> </w:t>
      </w:r>
      <w:r>
        <w:rPr>
          <w:rFonts w:ascii="Times New Roman" w:hAnsi="Times New Roman"/>
          <w:sz w:val="28"/>
          <w:highlight w:val="white"/>
        </w:rPr>
        <w:t xml:space="preserve">Утвердить порядок ведения реестра межведомственных </w:t>
      </w:r>
      <w:r>
        <w:rPr>
          <w:rFonts w:ascii="Times New Roman" w:hAnsi="Times New Roman"/>
          <w:sz w:val="28"/>
          <w:highlight w:val="white"/>
        </w:rPr>
        <w:t xml:space="preserve">                                 </w:t>
      </w:r>
      <w:r>
        <w:rPr>
          <w:rFonts w:ascii="Times New Roman" w:hAnsi="Times New Roman"/>
          <w:sz w:val="28"/>
          <w:highlight w:val="white"/>
        </w:rPr>
        <w:t xml:space="preserve">и внутриведомственных процессов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администрации города Ставрополя,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  <w:highlight w:val="white"/>
        </w:rPr>
        <w:t xml:space="preserve"> согласно приложению.</w:t>
      </w:r>
    </w:p>
    <w:p w14:paraId="1B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2. </w:t>
      </w:r>
      <w:r>
        <w:rPr>
          <w:rFonts w:ascii="Times New Roman" w:hAnsi="Times New Roman"/>
          <w:spacing w:val="-1"/>
          <w:sz w:val="28"/>
        </w:rPr>
        <w:t>Настоящее постановление вступает в силу со дня его подписания.</w:t>
      </w:r>
    </w:p>
    <w:p w14:paraId="1C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3. </w:t>
      </w:r>
      <w:r>
        <w:rPr>
          <w:rFonts w:ascii="Times New Roman" w:hAnsi="Times New Roman"/>
          <w:spacing w:val="-1"/>
          <w:sz w:val="28"/>
        </w:rPr>
        <w:t xml:space="preserve">Контроль исполнения настоящего постановления </w:t>
      </w:r>
      <w:r>
        <w:rPr>
          <w:rFonts w:ascii="Times New Roman" w:hAnsi="Times New Roman"/>
          <w:spacing w:val="-1"/>
          <w:sz w:val="28"/>
        </w:rPr>
        <w:t>возложить                       на первого заместителя главы администрации города Ставрополя                       Белицу С.И.</w:t>
      </w:r>
    </w:p>
    <w:p w14:paraId="1D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1E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1F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20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pacing w:val="-3"/>
          <w:sz w:val="28"/>
        </w:rPr>
      </w:pPr>
      <w:r>
        <w:rPr>
          <w:rFonts w:ascii="Times New Roman" w:hAnsi="Times New Roman"/>
          <w:color w:val="000000"/>
          <w:sz w:val="28"/>
        </w:rPr>
        <w:t>Глава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города Ставрополя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 xml:space="preserve">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</w:t>
      </w:r>
      <w:r>
        <w:rPr>
          <w:rFonts w:ascii="Times New Roman" w:hAnsi="Times New Roman"/>
          <w:color w:val="000000"/>
          <w:spacing w:val="-3"/>
          <w:sz w:val="28"/>
        </w:rPr>
        <w:t>И</w:t>
      </w:r>
      <w:r>
        <w:rPr>
          <w:rFonts w:ascii="Times New Roman" w:hAnsi="Times New Roman"/>
          <w:color w:val="000000"/>
          <w:spacing w:val="-3"/>
          <w:sz w:val="28"/>
        </w:rPr>
        <w:t>.</w:t>
      </w:r>
      <w:r>
        <w:rPr>
          <w:rFonts w:ascii="Times New Roman" w:hAnsi="Times New Roman"/>
          <w:color w:val="000000"/>
          <w:spacing w:val="-3"/>
          <w:sz w:val="28"/>
        </w:rPr>
        <w:t>И</w:t>
      </w:r>
      <w:r>
        <w:rPr>
          <w:rFonts w:ascii="Times New Roman" w:hAnsi="Times New Roman"/>
          <w:color w:val="000000"/>
          <w:spacing w:val="-3"/>
          <w:sz w:val="28"/>
        </w:rPr>
        <w:t xml:space="preserve">. </w:t>
      </w:r>
      <w:r>
        <w:rPr>
          <w:rFonts w:ascii="Times New Roman" w:hAnsi="Times New Roman"/>
          <w:color w:val="000000"/>
          <w:spacing w:val="-3"/>
          <w:sz w:val="28"/>
        </w:rPr>
        <w:t>Ульянченко</w:t>
      </w:r>
    </w:p>
    <w:p w14:paraId="21000000">
      <w:pPr>
        <w:widowControl w:val="0"/>
        <w:tabs>
          <w:tab w:leader="none" w:pos="994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</w:rPr>
      </w:pPr>
    </w:p>
    <w:p w14:paraId="22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23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24000000">
      <w:pPr>
        <w:widowControl w:val="0"/>
        <w:spacing w:after="0" w:line="240" w:lineRule="exact"/>
        <w:ind/>
        <w:rPr>
          <w:rFonts w:ascii="Times New Roman" w:hAnsi="Times New Roman"/>
          <w:color w:val="000000"/>
          <w:sz w:val="28"/>
        </w:rPr>
      </w:pPr>
    </w:p>
    <w:p w14:paraId="25000000">
      <w:pPr>
        <w:widowControl w:val="1"/>
        <w:spacing w:after="0"/>
        <w:ind/>
        <w:rPr>
          <w:rFonts w:ascii="Times New Roman" w:hAnsi="Times New Roman"/>
          <w:sz w:val="28"/>
        </w:rPr>
      </w:pPr>
    </w:p>
    <w:p w14:paraId="26000000">
      <w:pPr>
        <w:sectPr>
          <w:headerReference r:id="rId1" w:type="default"/>
          <w:pgSz w:h="16838" w:orient="portrait" w:w="11905"/>
          <w:pgMar w:bottom="1134" w:footer="720" w:gutter="0" w:header="720" w:left="1985" w:right="567" w:top="0"/>
          <w:pgNumType w:start="1"/>
          <w:titlePg/>
        </w:sectPr>
      </w:pPr>
    </w:p>
    <w:p w14:paraId="27000000">
      <w:pPr>
        <w:pStyle w:val="Style_3"/>
        <w:widowControl w:val="0"/>
        <w:spacing w:after="0" w:line="240" w:lineRule="exact"/>
        <w:ind w:firstLine="534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28000000">
      <w:pPr>
        <w:pStyle w:val="Style_3"/>
        <w:widowControl w:val="1"/>
        <w:spacing w:line="240" w:lineRule="exact"/>
        <w:ind w:firstLine="5341" w:left="0"/>
        <w:rPr>
          <w:rFonts w:ascii="Times New Roman" w:hAnsi="Times New Roman"/>
          <w:sz w:val="28"/>
        </w:rPr>
      </w:pPr>
    </w:p>
    <w:p w14:paraId="29000000">
      <w:pPr>
        <w:pStyle w:val="Style_3"/>
        <w:widowControl w:val="0"/>
        <w:spacing w:after="0" w:line="240" w:lineRule="exact"/>
        <w:ind w:firstLine="534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</w:t>
      </w:r>
      <w:r>
        <w:rPr>
          <w:rFonts w:ascii="Times New Roman" w:hAnsi="Times New Roman"/>
          <w:sz w:val="28"/>
        </w:rPr>
        <w:t>администрации</w:t>
      </w:r>
    </w:p>
    <w:p w14:paraId="2A000000">
      <w:pPr>
        <w:pStyle w:val="Style_3"/>
        <w:widowControl w:val="0"/>
        <w:spacing w:after="0" w:line="240" w:lineRule="exact"/>
        <w:ind w:firstLine="534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14:paraId="2B000000">
      <w:pPr>
        <w:pStyle w:val="Style_3"/>
        <w:widowControl w:val="1"/>
        <w:spacing w:line="240" w:lineRule="exact"/>
        <w:ind w:firstLine="534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18.07.2025  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1518</w:t>
      </w:r>
    </w:p>
    <w:p w14:paraId="2C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D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E000000">
      <w:pPr>
        <w:pStyle w:val="Style_4"/>
        <w:widowControl w:val="1"/>
        <w:spacing w:line="240" w:lineRule="exact"/>
        <w:ind/>
        <w:jc w:val="center"/>
        <w:rPr>
          <w:rFonts w:ascii="Times New Roman" w:hAnsi="Times New Roman"/>
          <w:sz w:val="28"/>
        </w:rPr>
      </w:pPr>
      <w:bookmarkStart w:id="1" w:name="Par40"/>
      <w:bookmarkEnd w:id="1"/>
      <w:r>
        <w:rPr>
          <w:rFonts w:ascii="Times New Roman" w:hAnsi="Times New Roman"/>
          <w:sz w:val="28"/>
        </w:rPr>
        <w:t>ПОРЯДОК</w:t>
      </w:r>
    </w:p>
    <w:p w14:paraId="2F000000">
      <w:pPr>
        <w:widowControl w:val="1"/>
        <w:spacing w:after="0" w:line="240" w:lineRule="exact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ведения реестра </w:t>
      </w:r>
      <w:r>
        <w:rPr>
          <w:rStyle w:val="Style_5_ch"/>
          <w:rFonts w:ascii="Times New Roman" w:hAnsi="Times New Roman"/>
        </w:rPr>
        <w:t>межведомственных и внутриведомственных</w:t>
      </w:r>
      <w:r>
        <w:rPr>
          <w:rFonts w:ascii="Times New Roman" w:hAnsi="Times New Roman"/>
          <w:sz w:val="28"/>
        </w:rPr>
        <w:t xml:space="preserve"> процессов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администрации города Ставрополя, отраслевых (функциональных)                               и территориальных органах администрации города Ставрополя</w:t>
      </w:r>
    </w:p>
    <w:p w14:paraId="30000000">
      <w:pPr>
        <w:pStyle w:val="Style_4"/>
        <w:widowControl w:val="1"/>
        <w:spacing w:line="240" w:lineRule="exact"/>
        <w:ind/>
        <w:jc w:val="center"/>
        <w:rPr>
          <w:rFonts w:ascii="Times New Roman" w:hAnsi="Times New Roman"/>
          <w:sz w:val="28"/>
        </w:rPr>
      </w:pPr>
    </w:p>
    <w:p w14:paraId="31000000">
      <w:pPr>
        <w:widowControl w:val="0"/>
        <w:spacing w:after="0" w:line="240" w:lineRule="auto"/>
        <w:ind/>
        <w:jc w:val="center"/>
        <w:outlineLvl w:val="1"/>
        <w:rPr>
          <w:rFonts w:ascii="Times New Roman" w:hAnsi="Times New Roman"/>
          <w:sz w:val="28"/>
        </w:rPr>
      </w:pPr>
      <w:bookmarkStart w:id="2" w:name="Par46"/>
      <w:bookmarkEnd w:id="2"/>
      <w:r>
        <w:rPr>
          <w:rFonts w:ascii="Times New Roman" w:hAnsi="Times New Roman"/>
          <w:sz w:val="28"/>
        </w:rPr>
        <w:t>Общие положения</w:t>
      </w:r>
    </w:p>
    <w:p w14:paraId="32000000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Настоящий</w:t>
      </w:r>
      <w:r>
        <w:rPr>
          <w:rFonts w:ascii="Times New Roman" w:hAnsi="Times New Roman"/>
          <w:sz w:val="28"/>
        </w:rPr>
        <w:t xml:space="preserve"> порядок ведения реестра межведомственных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внутриведомственных процессов в </w:t>
      </w:r>
      <w:r>
        <w:rPr>
          <w:rFonts w:ascii="Times New Roman" w:hAnsi="Times New Roman"/>
          <w:sz w:val="28"/>
        </w:rPr>
        <w:t>администрации города Ставрополя,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 xml:space="preserve"> (далее</w:t>
      </w:r>
      <w:r>
        <w:rPr>
          <w:rFonts w:ascii="Times New Roman" w:hAnsi="Times New Roman"/>
          <w:sz w:val="28"/>
        </w:rPr>
        <w:t xml:space="preserve"> соответственно</w:t>
      </w:r>
      <w:r>
        <w:rPr>
          <w:rFonts w:ascii="Times New Roman" w:hAnsi="Times New Roman"/>
          <w:sz w:val="28"/>
        </w:rPr>
        <w:t xml:space="preserve"> – Порядок, </w:t>
      </w:r>
      <w:r>
        <w:rPr>
          <w:rFonts w:ascii="Times New Roman" w:hAnsi="Times New Roman"/>
          <w:sz w:val="28"/>
        </w:rPr>
        <w:t>Реестр процессов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администрация, органы администрации</w:t>
      </w:r>
      <w:r>
        <w:rPr>
          <w:rFonts w:ascii="Times New Roman" w:hAnsi="Times New Roman"/>
          <w:sz w:val="28"/>
        </w:rPr>
        <w:t>) разработан в целях:</w:t>
      </w:r>
    </w:p>
    <w:p w14:paraId="3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</w:t>
      </w:r>
      <w:r>
        <w:rPr>
          <w:rFonts w:ascii="Times New Roman" w:hAnsi="Times New Roman"/>
          <w:sz w:val="28"/>
        </w:rPr>
        <w:t xml:space="preserve">оптимизации деятельности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Fonts w:ascii="Times New Roman" w:hAnsi="Times New Roman"/>
          <w:sz w:val="28"/>
        </w:rPr>
        <w:t xml:space="preserve"> для обеспечения соответствия предоставляемых услуг, функций и сервисов требованиям стандартов клиентоцентричности</w:t>
      </w:r>
      <w:r>
        <w:rPr>
          <w:rFonts w:ascii="Times New Roman" w:hAnsi="Times New Roman"/>
          <w:sz w:val="28"/>
        </w:rPr>
        <w:t>;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</w:t>
      </w:r>
      <w:r>
        <w:rPr>
          <w:rFonts w:ascii="Times New Roman" w:hAnsi="Times New Roman"/>
          <w:sz w:val="28"/>
        </w:rPr>
        <w:t xml:space="preserve">повышения эффективности деятельности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Fonts w:ascii="Times New Roman" w:hAnsi="Times New Roman"/>
          <w:sz w:val="28"/>
        </w:rPr>
        <w:t>;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</w:t>
      </w:r>
      <w:r>
        <w:rPr>
          <w:rFonts w:ascii="Times New Roman" w:hAnsi="Times New Roman"/>
          <w:sz w:val="28"/>
        </w:rPr>
        <w:t xml:space="preserve">достижения высокого уровня зрелости клиентоцентричности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администрации, органах администрации</w:t>
      </w:r>
      <w:r>
        <w:rPr>
          <w:rFonts w:ascii="Times New Roman" w:hAnsi="Times New Roman"/>
          <w:sz w:val="28"/>
        </w:rPr>
        <w:t>.</w:t>
      </w:r>
    </w:p>
    <w:p w14:paraId="37000000">
      <w:pPr>
        <w:pStyle w:val="Style_6"/>
        <w:widowControl w:val="1"/>
        <w:spacing w:line="240" w:lineRule="auto"/>
        <w:ind w:firstLine="709"/>
      </w:pPr>
      <w:r>
        <w:t>2. </w:t>
      </w:r>
      <w:r>
        <w:t xml:space="preserve">Реестр </w:t>
      </w:r>
      <w:r>
        <w:t xml:space="preserve">процессов обеспечивает ведение процессов </w:t>
      </w:r>
      <w:r>
        <w:t xml:space="preserve">в </w:t>
      </w:r>
      <w:r>
        <w:t>администрации, органах администрации</w:t>
      </w:r>
      <w:r>
        <w:t xml:space="preserve"> с целью их дальнейшего реинжиниринга.</w:t>
      </w:r>
    </w:p>
    <w:p w14:paraId="38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Термины и определения</w:t>
      </w:r>
    </w:p>
    <w:p w14:paraId="3A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Клиентоцентричность – качество деятельности, характеризующееся постоянным изучением и удовлетворением законных и справедливых потребностей клиента.</w:t>
      </w:r>
    </w:p>
    <w:p w14:paraId="3C000000">
      <w:pPr>
        <w:widowControl w:val="1"/>
        <w:spacing w:after="0" w:line="240" w:lineRule="auto"/>
        <w:ind w:firstLine="709"/>
        <w:jc w:val="both"/>
        <w:rPr>
          <w:rStyle w:val="Style_5_ch"/>
          <w:rFonts w:ascii="Times New Roman" w:hAnsi="Times New Roman"/>
        </w:rPr>
      </w:pPr>
      <w:r>
        <w:rPr>
          <w:rStyle w:val="Style_5_ch"/>
          <w:rFonts w:ascii="Times New Roman" w:hAnsi="Times New Roman"/>
        </w:rPr>
        <w:t>4. </w:t>
      </w:r>
      <w:r>
        <w:rPr>
          <w:rStyle w:val="Style_5_ch"/>
          <w:rFonts w:ascii="Times New Roman" w:hAnsi="Times New Roman"/>
        </w:rPr>
        <w:t>Процесс – п</w:t>
      </w:r>
      <w:r>
        <w:rPr>
          <w:rFonts w:ascii="Times New Roman" w:hAnsi="Times New Roman"/>
          <w:sz w:val="28"/>
          <w:highlight w:val="white"/>
        </w:rPr>
        <w:t xml:space="preserve">овторяемая совокупность логически взаимосвязанных действий и процедур </w:t>
      </w:r>
      <w:r>
        <w:rPr>
          <w:rFonts w:ascii="Times New Roman" w:hAnsi="Times New Roman"/>
          <w:sz w:val="28"/>
        </w:rPr>
        <w:t>администрации, органов администрации,</w:t>
      </w:r>
      <w:r>
        <w:rPr>
          <w:rFonts w:ascii="Times New Roman" w:hAnsi="Times New Roman"/>
          <w:sz w:val="28"/>
          <w:highlight w:val="white"/>
        </w:rPr>
        <w:t xml:space="preserve"> направленных на предоставление </w:t>
      </w:r>
      <w:r>
        <w:rPr>
          <w:rFonts w:ascii="Times New Roman" w:hAnsi="Times New Roman"/>
          <w:sz w:val="28"/>
          <w:highlight w:val="white"/>
        </w:rPr>
        <w:t>государственных и муниципальных</w:t>
      </w:r>
      <w:r>
        <w:rPr>
          <w:rFonts w:ascii="Times New Roman" w:hAnsi="Times New Roman"/>
          <w:sz w:val="28"/>
          <w:highlight w:val="white"/>
        </w:rPr>
        <w:t xml:space="preserve"> услуг, сервисов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или осуществление</w:t>
      </w:r>
      <w:r>
        <w:rPr>
          <w:rFonts w:ascii="Times New Roman" w:hAnsi="Times New Roman"/>
          <w:sz w:val="28"/>
          <w:highlight w:val="white"/>
        </w:rPr>
        <w:t xml:space="preserve"> функций</w:t>
      </w:r>
      <w:r>
        <w:rPr>
          <w:rStyle w:val="Style_5_ch"/>
          <w:rFonts w:ascii="Times New Roman" w:hAnsi="Times New Roman"/>
        </w:rPr>
        <w:t>.</w:t>
      </w:r>
    </w:p>
    <w:p w14:paraId="3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</w:rPr>
        <w:t>5</w:t>
      </w:r>
      <w:r>
        <w:rPr>
          <w:rStyle w:val="Style_5_ch"/>
          <w:rFonts w:ascii="Times New Roman" w:hAnsi="Times New Roman"/>
        </w:rPr>
        <w:t>.</w:t>
      </w:r>
      <w:r>
        <w:rPr>
          <w:rStyle w:val="Style_5_ch"/>
          <w:rFonts w:ascii="Times New Roman" w:hAnsi="Times New Roman"/>
        </w:rPr>
        <w:t> </w:t>
      </w:r>
      <w:r>
        <w:rPr>
          <w:rStyle w:val="Style_5_ch"/>
          <w:rFonts w:ascii="Times New Roman" w:hAnsi="Times New Roman"/>
          <w:color w:themeColor="text1" w:val="000000"/>
        </w:rPr>
        <w:t xml:space="preserve">Функция – деятельность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Style w:val="Style_5_ch"/>
          <w:rFonts w:ascii="Times New Roman" w:hAnsi="Times New Roman"/>
          <w:color w:themeColor="text1" w:val="000000"/>
        </w:rPr>
        <w:t xml:space="preserve">, направленная на осуществление </w:t>
      </w:r>
      <w:r>
        <w:rPr>
          <w:rStyle w:val="Style_5_ch"/>
          <w:rFonts w:ascii="Times New Roman" w:hAnsi="Times New Roman"/>
          <w:color w:themeColor="text1" w:val="000000"/>
        </w:rPr>
        <w:t>их</w:t>
      </w:r>
      <w:r>
        <w:rPr>
          <w:rStyle w:val="Style_5_ch"/>
          <w:rFonts w:ascii="Times New Roman" w:hAnsi="Times New Roman"/>
          <w:color w:themeColor="text1" w:val="000000"/>
        </w:rPr>
        <w:t xml:space="preserve"> полномочий.</w:t>
      </w:r>
    </w:p>
    <w:p w14:paraId="3E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color w:themeColor="text1" w:val="000000"/>
        </w:rPr>
        <w:t>6</w:t>
      </w:r>
      <w:r>
        <w:rPr>
          <w:rStyle w:val="Style_5_ch"/>
          <w:rFonts w:ascii="Times New Roman" w:hAnsi="Times New Roman"/>
          <w:color w:themeColor="text1" w:val="000000"/>
        </w:rPr>
        <w:t>.</w:t>
      </w:r>
      <w:r>
        <w:rPr>
          <w:rStyle w:val="Style_5_ch"/>
          <w:rFonts w:ascii="Times New Roman" w:hAnsi="Times New Roman"/>
          <w:color w:themeColor="text1" w:val="000000"/>
        </w:rPr>
        <w:t> </w:t>
      </w:r>
      <w:r>
        <w:rPr>
          <w:rFonts w:ascii="Times New Roman" w:hAnsi="Times New Roman"/>
          <w:sz w:val="28"/>
        </w:rPr>
        <w:t xml:space="preserve">Услуга – деятельность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               </w:t>
      </w:r>
      <w:r>
        <w:rPr>
          <w:rFonts w:ascii="Times New Roman" w:hAnsi="Times New Roman"/>
          <w:color w:val="000000"/>
          <w:sz w:val="28"/>
        </w:rPr>
        <w:t>по реализации функций</w:t>
      </w:r>
      <w:r>
        <w:rPr>
          <w:rFonts w:ascii="Times New Roman" w:hAnsi="Times New Roman"/>
          <w:sz w:val="28"/>
        </w:rPr>
        <w:t xml:space="preserve">, связанная с предоставлением </w:t>
      </w:r>
      <w:r>
        <w:rPr>
          <w:rFonts w:ascii="Times New Roman" w:hAnsi="Times New Roman"/>
          <w:sz w:val="28"/>
        </w:rPr>
        <w:t xml:space="preserve">государственных                      и муниципальных </w:t>
      </w:r>
      <w:r>
        <w:rPr>
          <w:rFonts w:ascii="Times New Roman" w:hAnsi="Times New Roman"/>
          <w:sz w:val="28"/>
        </w:rPr>
        <w:t xml:space="preserve">услуг в значении, установленном Федеральным законом </w:t>
      </w: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>от 27 июля 2010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№ 210-ФЗ «Об организации предоставления государственных и муниципальных услуг».</w:t>
      </w:r>
    </w:p>
    <w:p w14:paraId="3F000000">
      <w:pPr>
        <w:widowControl w:val="1"/>
        <w:spacing w:after="0" w:line="240" w:lineRule="auto"/>
        <w:ind w:firstLine="709"/>
        <w:jc w:val="both"/>
        <w:rPr>
          <w:rStyle w:val="Style_5_ch"/>
          <w:rFonts w:ascii="Times New Roman" w:hAnsi="Times New Roman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Style w:val="Style_5_ch"/>
          <w:rFonts w:ascii="Times New Roman" w:hAnsi="Times New Roman"/>
        </w:rPr>
        <w:t xml:space="preserve">Сервис – </w:t>
      </w:r>
      <w:r>
        <w:rPr>
          <w:rFonts w:ascii="Times New Roman" w:hAnsi="Times New Roman"/>
          <w:sz w:val="28"/>
        </w:rPr>
        <w:t>услуга, ф</w:t>
      </w:r>
      <w:r>
        <w:rPr>
          <w:rFonts w:ascii="Times New Roman" w:hAnsi="Times New Roman"/>
          <w:sz w:val="28"/>
        </w:rPr>
        <w:t>ункция или их часть, реализуемые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электронном виде с применением информационных систем</w:t>
      </w:r>
      <w:r>
        <w:rPr>
          <w:rStyle w:val="Style_5_ch"/>
          <w:rFonts w:ascii="Times New Roman" w:hAnsi="Times New Roman"/>
        </w:rPr>
        <w:t>.</w:t>
      </w:r>
    </w:p>
    <w:p w14:paraId="40000000">
      <w:pPr>
        <w:widowControl w:val="1"/>
        <w:spacing w:after="0" w:line="240" w:lineRule="auto"/>
        <w:ind w:firstLine="709"/>
        <w:jc w:val="both"/>
        <w:rPr>
          <w:rStyle w:val="Style_5_ch"/>
          <w:rFonts w:ascii="Times New Roman" w:hAnsi="Times New Roman"/>
        </w:rPr>
      </w:pPr>
      <w:r>
        <w:rPr>
          <w:rStyle w:val="Style_5_ch"/>
          <w:rFonts w:ascii="Times New Roman" w:hAnsi="Times New Roman"/>
        </w:rPr>
        <w:t>8. </w:t>
      </w:r>
      <w:r>
        <w:rPr>
          <w:rStyle w:val="Style_5_ch"/>
          <w:rFonts w:ascii="Times New Roman" w:hAnsi="Times New Roman"/>
        </w:rPr>
        <w:t>Реестр межведомственных и внутриведомственных процессов</w:t>
      </w:r>
      <w:r>
        <w:rPr>
          <w:rStyle w:val="Style_5_ch"/>
          <w:rFonts w:ascii="Times New Roman" w:hAnsi="Times New Roman"/>
        </w:rPr>
        <w:t xml:space="preserve"> </w:t>
      </w:r>
      <w:r>
        <w:rPr>
          <w:rStyle w:val="Style_5_ch"/>
          <w:rFonts w:ascii="Times New Roman" w:hAnsi="Times New Roman"/>
        </w:rPr>
        <w:t xml:space="preserve">– перечень </w:t>
      </w:r>
      <w:r>
        <w:rPr>
          <w:rStyle w:val="Style_5_ch"/>
          <w:rFonts w:ascii="Times New Roman" w:hAnsi="Times New Roman"/>
        </w:rPr>
        <w:t>государственных и муниципальных</w:t>
      </w:r>
      <w:r>
        <w:rPr>
          <w:rStyle w:val="Style_5_ch"/>
          <w:rFonts w:ascii="Times New Roman" w:hAnsi="Times New Roman"/>
        </w:rPr>
        <w:t xml:space="preserve"> услуг, функций </w:t>
      </w:r>
      <w:r>
        <w:rPr>
          <w:rFonts w:ascii="Times New Roman" w:hAnsi="Times New Roman"/>
          <w:sz w:val="28"/>
        </w:rPr>
        <w:t>и сервисов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Style w:val="Style_5_ch"/>
          <w:rFonts w:ascii="Times New Roman" w:hAnsi="Times New Roman"/>
        </w:rPr>
        <w:t xml:space="preserve"> и их процессов.</w:t>
      </w:r>
    </w:p>
    <w:p w14:paraId="41000000">
      <w:pPr>
        <w:widowControl w:val="1"/>
        <w:spacing w:after="0" w:line="240" w:lineRule="auto"/>
        <w:ind w:firstLine="709"/>
        <w:jc w:val="both"/>
        <w:rPr>
          <w:rStyle w:val="Style_5_ch"/>
          <w:rFonts w:ascii="Times New Roman" w:hAnsi="Times New Roman"/>
        </w:rPr>
      </w:pPr>
      <w:r>
        <w:rPr>
          <w:rFonts w:ascii="Times New Roman" w:hAnsi="Times New Roman"/>
          <w:sz w:val="28"/>
        </w:rPr>
        <w:t>9. </w:t>
      </w:r>
      <w:r>
        <w:rPr>
          <w:rFonts w:ascii="Times New Roman" w:hAnsi="Times New Roman"/>
          <w:sz w:val="28"/>
        </w:rPr>
        <w:t xml:space="preserve">Реинжиниринг – деятельность, основанная на методологии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технологиях, направленная на реформирование, проектирование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или перепроектирование услуг, функций и сервисов в целях оптимизации деятельности </w:t>
      </w:r>
      <w:r>
        <w:rPr>
          <w:rFonts w:ascii="Times New Roman" w:hAnsi="Times New Roman"/>
          <w:sz w:val="28"/>
        </w:rPr>
        <w:t>администрации, органов администрации</w:t>
      </w:r>
      <w:r>
        <w:rPr>
          <w:rFonts w:ascii="Times New Roman" w:hAnsi="Times New Roman"/>
          <w:sz w:val="28"/>
        </w:rPr>
        <w:t xml:space="preserve"> и подведомственных организаций, для обеспечения соответствия требованиям стандартов клиентоцентричности.</w:t>
      </w:r>
    </w:p>
    <w:p w14:paraId="4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Формирование и ведение реестра </w:t>
      </w:r>
      <w:r>
        <w:rPr>
          <w:rStyle w:val="Style_5_ch"/>
          <w:rFonts w:ascii="Times New Roman" w:hAnsi="Times New Roman"/>
        </w:rPr>
        <w:t xml:space="preserve">межведомственных </w:t>
      </w:r>
      <w:r>
        <w:rPr>
          <w:rStyle w:val="Style_5_ch"/>
          <w:rFonts w:ascii="Times New Roman" w:hAnsi="Times New Roman"/>
        </w:rPr>
        <w:br/>
      </w:r>
      <w:r>
        <w:rPr>
          <w:rStyle w:val="Style_5_ch"/>
          <w:rFonts w:ascii="Times New Roman" w:hAnsi="Times New Roman"/>
        </w:rPr>
        <w:t>и внутриведомственных</w:t>
      </w:r>
      <w:r>
        <w:rPr>
          <w:rFonts w:ascii="Times New Roman" w:hAnsi="Times New Roman"/>
          <w:sz w:val="28"/>
        </w:rPr>
        <w:t xml:space="preserve"> процессов</w:t>
      </w:r>
    </w:p>
    <w:p w14:paraId="4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5000000">
      <w:pPr>
        <w:pStyle w:val="Style_6"/>
        <w:widowControl w:val="1"/>
        <w:spacing w:line="240" w:lineRule="auto"/>
        <w:ind w:firstLine="709"/>
      </w:pPr>
      <w:r>
        <w:t>10. </w:t>
      </w:r>
      <w:r>
        <w:t xml:space="preserve">Реестр процессов утверждается правовым актом </w:t>
      </w:r>
      <w:r>
        <w:t>администрации, органов администрации</w:t>
      </w:r>
      <w:r>
        <w:t xml:space="preserve"> по форме согласно приложению 1 к Порядку.</w:t>
      </w:r>
    </w:p>
    <w:p w14:paraId="46000000">
      <w:pPr>
        <w:pStyle w:val="Style_6"/>
        <w:widowControl w:val="1"/>
        <w:spacing w:line="240" w:lineRule="auto"/>
        <w:ind w:firstLine="709"/>
      </w:pPr>
      <w:r>
        <w:t>11. </w:t>
      </w:r>
      <w:r>
        <w:t>Администрация, органы администрации</w:t>
      </w:r>
      <w:r>
        <w:t xml:space="preserve"> назначают</w:t>
      </w:r>
      <w:r>
        <w:t xml:space="preserve"> </w:t>
      </w:r>
      <w:r>
        <w:t xml:space="preserve">должностных </w:t>
      </w:r>
      <w:r>
        <w:t>лиц</w:t>
      </w:r>
      <w:r>
        <w:t xml:space="preserve"> ответственных</w:t>
      </w:r>
      <w:r>
        <w:t>:</w:t>
      </w:r>
    </w:p>
    <w:p w14:paraId="47000000">
      <w:pPr>
        <w:pStyle w:val="Style_6"/>
        <w:widowControl w:val="1"/>
        <w:spacing w:line="240" w:lineRule="auto"/>
        <w:ind w:firstLine="709"/>
      </w:pPr>
      <w:r>
        <w:t>1) за ф</w:t>
      </w:r>
      <w:r>
        <w:t>ормирование</w:t>
      </w:r>
      <w:r>
        <w:rPr>
          <w:color w:val="000000"/>
        </w:rPr>
        <w:t xml:space="preserve"> сведений о процессах в Реестре процессов;</w:t>
      </w:r>
    </w:p>
    <w:p w14:paraId="48000000">
      <w:pPr>
        <w:pStyle w:val="Style_6"/>
        <w:widowControl w:val="1"/>
        <w:spacing w:line="240" w:lineRule="auto"/>
        <w:ind w:firstLine="709"/>
      </w:pPr>
      <w:r>
        <w:t xml:space="preserve">2) за </w:t>
      </w:r>
      <w:r>
        <w:rPr>
          <w:color w:val="000000"/>
        </w:rPr>
        <w:t>п</w:t>
      </w:r>
      <w:r>
        <w:rPr>
          <w:color w:val="000000"/>
        </w:rPr>
        <w:t>роверку содержания сведений о процессах, подлежащих включению в Реестр процессов;</w:t>
      </w:r>
    </w:p>
    <w:p w14:paraId="49000000">
      <w:pPr>
        <w:pStyle w:val="Style_6"/>
        <w:widowControl w:val="1"/>
        <w:spacing w:line="240" w:lineRule="auto"/>
        <w:ind w:firstLine="709"/>
      </w:pPr>
      <w:r>
        <w:t xml:space="preserve">3) за </w:t>
      </w:r>
      <w:r>
        <w:rPr>
          <w:color w:val="000000"/>
        </w:rPr>
        <w:t>к</w:t>
      </w:r>
      <w:r>
        <w:rPr>
          <w:color w:val="000000"/>
        </w:rPr>
        <w:t>онтроль над своевременной актуализацией Реестра процессов путем внесения новых сведений о процессах</w:t>
      </w:r>
      <w:r>
        <w:t>;</w:t>
      </w:r>
    </w:p>
    <w:p w14:paraId="4A000000">
      <w:pPr>
        <w:pStyle w:val="Style_6"/>
        <w:widowControl w:val="1"/>
        <w:spacing w:line="240" w:lineRule="auto"/>
        <w:ind w:firstLine="709"/>
      </w:pPr>
      <w:r>
        <w:t>4) за в</w:t>
      </w:r>
      <w:r>
        <w:t>несение изменений в Реестр процессов</w:t>
      </w:r>
      <w:r>
        <w:t>.</w:t>
      </w:r>
    </w:p>
    <w:p w14:paraId="4B000000">
      <w:pPr>
        <w:pStyle w:val="Style_6"/>
        <w:widowControl w:val="1"/>
        <w:spacing w:line="240" w:lineRule="auto"/>
        <w:ind w:firstLine="709"/>
      </w:pPr>
      <w:r>
        <w:t>12. </w:t>
      </w:r>
      <w:r>
        <w:t>Размещение Реестра процессов обеспечивается в</w:t>
      </w:r>
      <w:r>
        <w:t xml:space="preserve"> общем файловом хранилище, </w:t>
      </w:r>
      <w:r>
        <w:t>на официальном</w:t>
      </w:r>
      <w:r>
        <w:t xml:space="preserve"> сайт</w:t>
      </w:r>
      <w:r>
        <w:t>е</w:t>
      </w:r>
      <w:r>
        <w:t xml:space="preserve"> </w:t>
      </w:r>
      <w:r>
        <w:t xml:space="preserve">администрации города Ставрополя </w:t>
      </w:r>
      <w:r>
        <w:t>в информационно-телекоммуникационной сети «</w:t>
      </w:r>
      <w:r>
        <w:t xml:space="preserve">Интернет» (далее – сайт администрации)  </w:t>
      </w:r>
      <w:r>
        <w:t xml:space="preserve">или в иной электронной среде взаимодействия </w:t>
      </w:r>
      <w:r>
        <w:t>администрации, органов администрации</w:t>
      </w:r>
      <w:r>
        <w:t>.</w:t>
      </w:r>
    </w:p>
    <w:p w14:paraId="4C000000">
      <w:pPr>
        <w:pStyle w:val="Style_6"/>
        <w:widowControl w:val="1"/>
        <w:spacing w:line="240" w:lineRule="auto"/>
        <w:ind w:firstLine="709"/>
      </w:pPr>
      <w:r>
        <w:t>Администрация, органы администрации</w:t>
      </w:r>
      <w:r>
        <w:t xml:space="preserve"> </w:t>
      </w:r>
      <w:r>
        <w:t>определяю</w:t>
      </w:r>
      <w:r>
        <w:t xml:space="preserve">т место размещения Реестра процессов с возможностью одновременного доступа заинтересованных лиц с точным описанием, где именно, в какой папке </w:t>
      </w:r>
      <w:r>
        <w:t xml:space="preserve">                  </w:t>
      </w:r>
      <w:r>
        <w:t xml:space="preserve">или в каком </w:t>
      </w:r>
      <w:r>
        <w:t xml:space="preserve">разделе </w:t>
      </w:r>
      <w:r>
        <w:t>сайта</w:t>
      </w:r>
      <w:r>
        <w:t xml:space="preserve"> администрации или в иной электронной среде взаимодействия </w:t>
      </w:r>
      <w:r>
        <w:t>администрации, органов</w:t>
      </w:r>
      <w:r>
        <w:t xml:space="preserve"> администрации</w:t>
      </w:r>
      <w:r>
        <w:t xml:space="preserve"> находится Реестр процессов.</w:t>
      </w:r>
    </w:p>
    <w:p w14:paraId="4D000000">
      <w:pPr>
        <w:pStyle w:val="Style_6"/>
        <w:widowControl w:val="1"/>
        <w:spacing w:line="240" w:lineRule="auto"/>
        <w:ind w:firstLine="709"/>
      </w:pPr>
      <w:r>
        <w:t>13. </w:t>
      </w:r>
      <w:r>
        <w:t>Реестр процессов состоит из следующих разделов:</w:t>
      </w:r>
    </w:p>
    <w:p w14:paraId="4E000000">
      <w:pPr>
        <w:pStyle w:val="Style_6"/>
        <w:widowControl w:val="1"/>
        <w:spacing w:line="240" w:lineRule="auto"/>
        <w:ind w:firstLine="709"/>
      </w:pPr>
      <w:r>
        <w:t>1) и</w:t>
      </w:r>
      <w:r>
        <w:t>дентификатор процесса – цифровые обознач</w:t>
      </w:r>
      <w:r>
        <w:t xml:space="preserve">ения по порядку </w:t>
      </w:r>
      <w:r>
        <w:br/>
      </w:r>
      <w:r>
        <w:t>их внесения в Р</w:t>
      </w:r>
      <w:r>
        <w:t xml:space="preserve">еестр </w:t>
      </w:r>
      <w:r>
        <w:t xml:space="preserve">процессов </w:t>
      </w:r>
      <w:r>
        <w:t>(</w:t>
      </w:r>
      <w:r>
        <w:t xml:space="preserve">ID </w:t>
      </w:r>
      <w:r>
        <w:t>1.1,</w:t>
      </w:r>
      <w:r>
        <w:t>ID</w:t>
      </w:r>
      <w:r>
        <w:t xml:space="preserve"> 1.2,</w:t>
      </w:r>
      <w:r>
        <w:t>ID</w:t>
      </w:r>
      <w:r>
        <w:t xml:space="preserve"> 1.3...</w:t>
      </w:r>
      <w:r>
        <w:t>ID</w:t>
      </w:r>
      <w:r>
        <w:t xml:space="preserve"> 2.1,</w:t>
      </w:r>
      <w:r>
        <w:t>ID</w:t>
      </w:r>
      <w:r>
        <w:t xml:space="preserve"> 2.2,</w:t>
      </w:r>
      <w:r>
        <w:t>ID</w:t>
      </w:r>
      <w:r>
        <w:t xml:space="preserve"> 2.3...);</w:t>
      </w:r>
    </w:p>
    <w:p w14:paraId="4F000000">
      <w:pPr>
        <w:pStyle w:val="Style_6"/>
        <w:widowControl w:val="1"/>
        <w:spacing w:line="240" w:lineRule="auto"/>
        <w:ind w:firstLine="709"/>
      </w:pPr>
      <w:r>
        <w:t>2) ж</w:t>
      </w:r>
      <w:r>
        <w:t xml:space="preserve">изненная ситуация – одна или несколько жизненных ситуаций, </w:t>
      </w:r>
      <w:r>
        <w:t xml:space="preserve">                </w:t>
      </w:r>
      <w:r>
        <w:t>в которые входит функция, услуга или сервис.</w:t>
      </w:r>
      <w:r>
        <w:t xml:space="preserve"> </w:t>
      </w:r>
      <w:r>
        <w:t xml:space="preserve">Если функция, услуга </w:t>
      </w:r>
      <w:r>
        <w:t xml:space="preserve">                     </w:t>
      </w:r>
      <w:r>
        <w:t>или сервис не может быть отнесена к жизненной ситуации, то п</w:t>
      </w:r>
      <w:r>
        <w:t>оле может быть оставлено пустым;</w:t>
      </w:r>
    </w:p>
    <w:p w14:paraId="50000000">
      <w:pPr>
        <w:pStyle w:val="Style_6"/>
        <w:widowControl w:val="1"/>
        <w:spacing w:line="240" w:lineRule="auto"/>
        <w:ind w:firstLine="709"/>
      </w:pPr>
      <w:r>
        <w:t>3) н</w:t>
      </w:r>
      <w:r>
        <w:t>аименование услуги, функции, сервиса – соответствующее назва</w:t>
      </w:r>
      <w:r>
        <w:t>ние услуги, функции или сервиса;</w:t>
      </w:r>
    </w:p>
    <w:p w14:paraId="51000000">
      <w:pPr>
        <w:pStyle w:val="Style_6"/>
        <w:widowControl w:val="1"/>
        <w:spacing w:line="240" w:lineRule="auto"/>
        <w:ind w:firstLine="709"/>
      </w:pPr>
      <w:r>
        <w:t>4) р</w:t>
      </w:r>
      <w:r>
        <w:t xml:space="preserve">егулирующий акт – нормативный </w:t>
      </w:r>
      <w:r>
        <w:rPr>
          <w:highlight w:val="white"/>
        </w:rPr>
        <w:t>(ненормативный) правовой</w:t>
      </w:r>
      <w:r>
        <w:t xml:space="preserve"> акт, которым регулируется осуществление функции, предоставление услуги </w:t>
      </w:r>
      <w:r>
        <w:t xml:space="preserve">                  </w:t>
      </w:r>
      <w:r>
        <w:t>или сер</w:t>
      </w:r>
      <w:r>
        <w:t>виса;</w:t>
      </w:r>
    </w:p>
    <w:p w14:paraId="52000000">
      <w:pPr>
        <w:pStyle w:val="Style_6"/>
        <w:widowControl w:val="1"/>
        <w:spacing w:line="240" w:lineRule="auto"/>
        <w:ind w:firstLine="709"/>
      </w:pPr>
      <w:r>
        <w:t>5) г</w:t>
      </w:r>
      <w:r>
        <w:t>руппа процессов – группа, в которую входит процесс, согласно группировке из типового перечн</w:t>
      </w:r>
      <w:r>
        <w:t>я процессов согласно приложению </w:t>
      </w:r>
      <w:r>
        <w:t>2</w:t>
      </w:r>
      <w:r>
        <w:br/>
      </w:r>
      <w:r>
        <w:t>к Пор</w:t>
      </w:r>
      <w:r>
        <w:t>ядку (далее – Типовой перечень);</w:t>
      </w:r>
    </w:p>
    <w:p w14:paraId="53000000">
      <w:pPr>
        <w:pStyle w:val="Style_6"/>
        <w:widowControl w:val="1"/>
        <w:spacing w:line="240" w:lineRule="auto"/>
        <w:ind w:firstLine="709"/>
      </w:pPr>
      <w:r>
        <w:t>6) н</w:t>
      </w:r>
      <w:r>
        <w:t>аименование процесса – указывается</w:t>
      </w:r>
      <w:r>
        <w:t xml:space="preserve"> </w:t>
      </w:r>
      <w:r>
        <w:t xml:space="preserve">в упорядоченном виде </w:t>
      </w:r>
      <w:r>
        <w:br/>
      </w:r>
      <w:r>
        <w:t>с использованием Типового перечня. В случае, если при оказании услуги (сервиса), реализации функции задействованы какие-то процессы, которые отсутствуют в Типовом перечне,</w:t>
      </w:r>
      <w:r>
        <w:t xml:space="preserve"> </w:t>
      </w:r>
      <w:r>
        <w:t xml:space="preserve">решение об их включении </w:t>
      </w:r>
      <w:r>
        <w:t>принимается</w:t>
      </w:r>
      <w:r>
        <w:t xml:space="preserve"> </w:t>
      </w:r>
      <w:r>
        <w:t xml:space="preserve">                   </w:t>
      </w:r>
      <w:r>
        <w:t xml:space="preserve">на усмотрение </w:t>
      </w:r>
      <w:r>
        <w:t>администрации, органов администрации</w:t>
      </w:r>
      <w:r>
        <w:t>;</w:t>
      </w:r>
    </w:p>
    <w:p w14:paraId="54000000">
      <w:pPr>
        <w:pStyle w:val="Style_6"/>
        <w:widowControl w:val="1"/>
        <w:spacing w:line="240" w:lineRule="auto"/>
        <w:ind w:firstLine="709"/>
      </w:pPr>
      <w:r>
        <w:t>7) о</w:t>
      </w:r>
      <w:r>
        <w:t xml:space="preserve">тветственный за процесс – должность сотрудника, ответственного за процесс и который будет выступать ответственным </w:t>
      </w:r>
      <w:r>
        <w:br/>
      </w:r>
      <w:r>
        <w:t xml:space="preserve">за реинжиниринг процесса. Рекомендуется назначать такого сотрудника </w:t>
      </w:r>
      <w:r>
        <w:br/>
      </w:r>
      <w:r>
        <w:t>из числа линейных руководителей, чьи трудовые</w:t>
      </w:r>
      <w:r>
        <w:t xml:space="preserve"> </w:t>
      </w:r>
      <w:r>
        <w:t>обязанности непосредственно связаны с осуществлением того или иного</w:t>
      </w:r>
      <w:r>
        <w:t xml:space="preserve"> процесса;</w:t>
      </w:r>
    </w:p>
    <w:p w14:paraId="55000000">
      <w:pPr>
        <w:pStyle w:val="Style_6"/>
        <w:widowControl w:val="1"/>
        <w:spacing w:line="240" w:lineRule="auto"/>
        <w:ind w:firstLine="709"/>
      </w:pPr>
      <w:r>
        <w:t>8) с</w:t>
      </w:r>
      <w:r>
        <w:t>татус процесса (статус реинжиниринга) – необходимо указать один из статусов реинжиниринга услуги, функции, сервиса:</w:t>
      </w:r>
    </w:p>
    <w:p w14:paraId="56000000">
      <w:pPr>
        <w:pStyle w:val="Style_6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line="240" w:lineRule="auto"/>
        <w:ind w:firstLine="709" w:left="0"/>
      </w:pPr>
      <w:r>
        <w:t>в очереди на исследование;</w:t>
      </w:r>
    </w:p>
    <w:p w14:paraId="57000000">
      <w:pPr>
        <w:pStyle w:val="Style_6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line="240" w:lineRule="auto"/>
        <w:ind w:firstLine="709" w:left="0"/>
      </w:pPr>
      <w:r>
        <w:t>идет исследование;</w:t>
      </w:r>
    </w:p>
    <w:p w14:paraId="58000000">
      <w:pPr>
        <w:pStyle w:val="Style_6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line="240" w:lineRule="auto"/>
        <w:ind w:firstLine="709" w:left="0"/>
      </w:pPr>
      <w:r>
        <w:t>в очереди на реинжиниринг;</w:t>
      </w:r>
    </w:p>
    <w:p w14:paraId="59000000">
      <w:pPr>
        <w:pStyle w:val="Style_6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line="240" w:lineRule="auto"/>
        <w:ind w:firstLine="709" w:left="0"/>
      </w:pPr>
      <w:r>
        <w:t>проходит реинжиниринг;</w:t>
      </w:r>
    </w:p>
    <w:p w14:paraId="5A000000">
      <w:pPr>
        <w:pStyle w:val="Style_6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line="240" w:lineRule="auto"/>
        <w:ind w:firstLine="709" w:left="0"/>
      </w:pPr>
      <w:r>
        <w:t>прошел реинжиниринг;</w:t>
      </w:r>
    </w:p>
    <w:p w14:paraId="5B000000">
      <w:pPr>
        <w:pStyle w:val="Style_6"/>
        <w:widowControl w:val="1"/>
        <w:spacing w:line="240" w:lineRule="auto"/>
        <w:ind w:firstLine="709"/>
      </w:pPr>
      <w:r>
        <w:t>9) к</w:t>
      </w:r>
      <w:r>
        <w:t>лиент – образ конечного получателя результата соответствую</w:t>
      </w:r>
      <w:r>
        <w:t>щей функции, услуги или сервиса;</w:t>
      </w:r>
    </w:p>
    <w:p w14:paraId="5C000000">
      <w:pPr>
        <w:pStyle w:val="Style_6"/>
        <w:widowControl w:val="1"/>
        <w:spacing w:line="240" w:lineRule="auto"/>
        <w:ind w:firstLine="709"/>
      </w:pPr>
      <w:r>
        <w:t>10) ц</w:t>
      </w:r>
      <w:r>
        <w:t xml:space="preserve">енность для клиента – какую ценность имеет соответствующая функция, услуга или </w:t>
      </w:r>
      <w:r>
        <w:t>сервис для конечного получателя;</w:t>
      </w:r>
    </w:p>
    <w:p w14:paraId="5D000000">
      <w:pPr>
        <w:pStyle w:val="Style_6"/>
        <w:widowControl w:val="1"/>
        <w:spacing w:line="240" w:lineRule="auto"/>
        <w:ind w:firstLine="709"/>
      </w:pPr>
      <w:r>
        <w:t>11) д</w:t>
      </w:r>
      <w:r>
        <w:t>анные на входе – получение каких сведений и (или) документов необходимо для начала процесса (какой-либо результат предыдущего процесса, данные от заявителя, да</w:t>
      </w:r>
      <w:r>
        <w:t>нные от информационной системы);</w:t>
      </w:r>
    </w:p>
    <w:p w14:paraId="5E000000">
      <w:pPr>
        <w:pStyle w:val="Style_6"/>
        <w:widowControl w:val="1"/>
        <w:spacing w:line="240" w:lineRule="auto"/>
        <w:ind w:firstLine="709"/>
      </w:pPr>
      <w:r>
        <w:t>12) р</w:t>
      </w:r>
      <w:r>
        <w:t>езультат на выходе – какой результат получается при завершении процесса (выдача документа, вып</w:t>
      </w:r>
      <w:r>
        <w:t>лата, внесение записи в реестр);</w:t>
      </w:r>
    </w:p>
    <w:p w14:paraId="5F000000">
      <w:pPr>
        <w:pStyle w:val="Style_6"/>
        <w:widowControl w:val="1"/>
        <w:spacing w:line="240" w:lineRule="auto"/>
        <w:ind w:firstLine="709"/>
      </w:pPr>
      <w:r>
        <w:t>13) с</w:t>
      </w:r>
      <w:r>
        <w:t>вязь с другими процессами</w:t>
      </w:r>
      <w:r>
        <w:rPr>
          <w:sz w:val="22"/>
        </w:rPr>
        <w:t xml:space="preserve"> </w:t>
      </w:r>
      <w:r>
        <w:t>– предлагается указать идентификаторы процессов, которые связаны с указанным процессом. Также может быть указан т</w:t>
      </w:r>
      <w:r>
        <w:t>ип такой связи (предшествующий/</w:t>
      </w:r>
      <w:r>
        <w:t>последующий процесс</w:t>
      </w:r>
      <w:r>
        <w:t>);</w:t>
      </w:r>
    </w:p>
    <w:p w14:paraId="60000000">
      <w:pPr>
        <w:pStyle w:val="Style_6"/>
        <w:widowControl w:val="1"/>
        <w:spacing w:line="240" w:lineRule="auto"/>
        <w:ind w:firstLine="709"/>
      </w:pPr>
      <w:r>
        <w:t>14) в</w:t>
      </w:r>
      <w:r>
        <w:t xml:space="preserve">ид процесса – осуществляется ли процесс автоматически </w:t>
      </w:r>
      <w:r>
        <w:t xml:space="preserve">                    </w:t>
      </w:r>
      <w:r>
        <w:t xml:space="preserve">или осуществляется вручную сотрудниками </w:t>
      </w:r>
      <w:r>
        <w:t>администрации, органов администрации</w:t>
      </w:r>
      <w:r>
        <w:t>, подведомственных</w:t>
      </w:r>
      <w:r>
        <w:t xml:space="preserve"> </w:t>
      </w:r>
      <w:r>
        <w:t>им учреждений;</w:t>
      </w:r>
    </w:p>
    <w:p w14:paraId="61000000">
      <w:pPr>
        <w:pStyle w:val="Style_6"/>
        <w:widowControl w:val="1"/>
        <w:spacing w:line="240" w:lineRule="auto"/>
        <w:ind w:firstLine="709"/>
      </w:pPr>
      <w:r>
        <w:t>15) т</w:t>
      </w:r>
      <w:r>
        <w:t xml:space="preserve">очка размещения в цифровом виде – в случае, если услуга, функция </w:t>
      </w:r>
      <w:r>
        <w:t>или сервис предоставляются в электронном виде, предлагается указать, в какой точке они доступны (</w:t>
      </w:r>
      <w:r>
        <w:t xml:space="preserve">федеральная государственная </w:t>
      </w:r>
      <w:r>
        <w:t>информационная система</w:t>
      </w:r>
      <w:r>
        <w:t xml:space="preserve"> «Единый портал государственных </w:t>
      </w:r>
      <w:r>
        <w:t>и муниципальных услуг (функций)» (gosuslugi.ru)</w:t>
      </w:r>
      <w:r>
        <w:t>, сайт</w:t>
      </w:r>
      <w:r>
        <w:t xml:space="preserve"> администрации</w:t>
      </w:r>
      <w:r>
        <w:t>).</w:t>
      </w:r>
    </w:p>
    <w:p w14:paraId="62000000">
      <w:pPr>
        <w:pStyle w:val="Style_6"/>
        <w:widowControl w:val="1"/>
        <w:spacing w:line="240" w:lineRule="auto"/>
        <w:ind w:firstLine="709"/>
      </w:pPr>
      <w:r>
        <w:t>14.</w:t>
      </w:r>
      <w:r>
        <w:t> </w:t>
      </w:r>
      <w:r>
        <w:t>О</w:t>
      </w:r>
      <w:r>
        <w:t>бъединение ячеек в столбцах Реестра процессов не допускается.</w:t>
      </w:r>
    </w:p>
    <w:p w14:paraId="63000000">
      <w:pPr>
        <w:pStyle w:val="Style_6"/>
        <w:widowControl w:val="1"/>
        <w:spacing w:line="240" w:lineRule="auto"/>
        <w:ind w:firstLine="709"/>
      </w:pPr>
      <w:r>
        <w:t>15.</w:t>
      </w:r>
      <w:r>
        <w:t> </w:t>
      </w:r>
      <w:r>
        <w:t>О</w:t>
      </w:r>
      <w:r>
        <w:t>писание функции (услу</w:t>
      </w:r>
      <w:r>
        <w:t xml:space="preserve">ги, сервиса) должно основываться </w:t>
      </w:r>
      <w:r>
        <w:br/>
      </w:r>
      <w:r>
        <w:t>на административном регламенте (или ином регламентирующем документе), но учитывать и отдавать приоритет реальному порядку осуществления функции (услуги, сервиса)</w:t>
      </w:r>
      <w:r>
        <w:t>.</w:t>
      </w:r>
    </w:p>
    <w:p w14:paraId="64000000">
      <w:pPr>
        <w:pStyle w:val="Style_6"/>
        <w:widowControl w:val="1"/>
        <w:spacing w:line="240" w:lineRule="auto"/>
        <w:ind w:firstLine="709"/>
      </w:pPr>
      <w:r>
        <w:t>16. В</w:t>
      </w:r>
      <w:r>
        <w:t xml:space="preserve"> случае, если один процесс в рамках одной функции (услуги, сервиса) выполняется двумя или более </w:t>
      </w:r>
      <w:r>
        <w:t>органами администрации</w:t>
      </w:r>
      <w:r>
        <w:t xml:space="preserve"> совместно (например, межве</w:t>
      </w:r>
      <w:r>
        <w:t>домственные процессы), то каждый</w:t>
      </w:r>
      <w:r>
        <w:t xml:space="preserve"> из выполняющих такой процесс </w:t>
      </w:r>
      <w:r>
        <w:t>в администрации, органе администрации</w:t>
      </w:r>
      <w:r>
        <w:t xml:space="preserve"> включает процесс в свой реестр и работает над его реинжинирингом совместно.</w:t>
      </w:r>
    </w:p>
    <w:p w14:paraId="65000000">
      <w:pPr>
        <w:pStyle w:val="Style_6"/>
        <w:widowControl w:val="1"/>
        <w:spacing w:line="240" w:lineRule="auto"/>
        <w:ind w:firstLine="709"/>
      </w:pPr>
      <w:r>
        <w:t xml:space="preserve">17. </w:t>
      </w:r>
      <w:r>
        <w:t>В</w:t>
      </w:r>
      <w:r>
        <w:t xml:space="preserve"> случае, если </w:t>
      </w:r>
      <w:r>
        <w:t>администрация, орган администрации</w:t>
      </w:r>
      <w:r>
        <w:t xml:space="preserve"> является лишь регулятором, устанавливающим правила оказания функции (услуги, сервиса), но самостоятельно не реализует функцию, не оказывает услугу, </w:t>
      </w:r>
      <w:r>
        <w:t xml:space="preserve">                              не предоставляет сервис</w:t>
      </w:r>
      <w:r>
        <w:t xml:space="preserve"> или его полномочия</w:t>
      </w:r>
      <w:r>
        <w:t xml:space="preserve"> </w:t>
      </w:r>
      <w:r>
        <w:t>переданы в подведомственное учреждение, то такие</w:t>
      </w:r>
      <w:r>
        <w:t xml:space="preserve"> </w:t>
      </w:r>
      <w:r>
        <w:t xml:space="preserve">функции (услуги, сервисы) в Реестр процессов </w:t>
      </w:r>
      <w:r>
        <w:t xml:space="preserve">                      </w:t>
      </w:r>
      <w:r>
        <w:t>не включаются.</w:t>
      </w:r>
    </w:p>
    <w:p w14:paraId="6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 В</w:t>
      </w:r>
      <w:r>
        <w:rPr>
          <w:rFonts w:ascii="Times New Roman" w:hAnsi="Times New Roman"/>
          <w:sz w:val="28"/>
        </w:rPr>
        <w:t>несение изменений в Реестр процессов проводится по мере необходимости.</w:t>
      </w:r>
    </w:p>
    <w:p w14:paraId="6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19. 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снованием для внесения изменений в Реестр процессов является:</w:t>
      </w:r>
    </w:p>
    <w:p w14:paraId="6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 изменение процесса;</w:t>
      </w:r>
    </w:p>
    <w:p w14:paraId="6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 прекращение выполнения процесса;</w:t>
      </w:r>
    </w:p>
    <w:p w14:paraId="6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 возникновение нового процесса.</w:t>
      </w:r>
    </w:p>
    <w:p w14:paraId="6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 П</w:t>
      </w:r>
      <w:r>
        <w:rPr>
          <w:rFonts w:ascii="Times New Roman" w:hAnsi="Times New Roman"/>
          <w:sz w:val="28"/>
        </w:rPr>
        <w:t xml:space="preserve">ри формировании и ведении Реестра процессов в </w:t>
      </w:r>
      <w:r>
        <w:rPr>
          <w:rFonts w:ascii="Times New Roman" w:hAnsi="Times New Roman"/>
          <w:sz w:val="28"/>
        </w:rPr>
        <w:t>администрации, органах администрации</w:t>
      </w:r>
      <w:r>
        <w:rPr>
          <w:rFonts w:ascii="Times New Roman" w:hAnsi="Times New Roman"/>
          <w:sz w:val="28"/>
        </w:rPr>
        <w:t xml:space="preserve"> применятся распределенно-централизованная модель, то есть полномочия на внесение изменений в Реестр процессов имеются только у одного сотрудника </w:t>
      </w:r>
      <w:r>
        <w:rPr>
          <w:rFonts w:ascii="Times New Roman" w:hAnsi="Times New Roman"/>
          <w:sz w:val="28"/>
        </w:rPr>
        <w:t>администрации, органа администрации</w:t>
      </w:r>
      <w:r>
        <w:rPr>
          <w:rFonts w:ascii="Times New Roman" w:hAnsi="Times New Roman"/>
          <w:sz w:val="28"/>
        </w:rPr>
        <w:t xml:space="preserve"> либо у лица его замещающего</w:t>
      </w:r>
      <w:r>
        <w:rPr>
          <w:rFonts w:ascii="Times New Roman" w:hAnsi="Times New Roman"/>
          <w:sz w:val="28"/>
        </w:rPr>
        <w:t>, но запросы на изменение Реестра процессов направляются ответственными за формирование</w:t>
      </w:r>
      <w:r>
        <w:rPr>
          <w:rFonts w:ascii="Times New Roman" w:hAnsi="Times New Roman"/>
          <w:color w:val="000000"/>
          <w:sz w:val="28"/>
        </w:rPr>
        <w:t xml:space="preserve"> сведений о процессах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Реестре процессов</w:t>
      </w:r>
      <w:r>
        <w:rPr>
          <w:rFonts w:ascii="Times New Roman" w:hAnsi="Times New Roman"/>
          <w:sz w:val="28"/>
        </w:rPr>
        <w:t>.</w:t>
      </w:r>
    </w:p>
    <w:p w14:paraId="6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F000000">
      <w:pPr>
        <w:widowControl w:val="1"/>
        <w:spacing w:after="0" w:line="240" w:lineRule="exact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70000000">
      <w:pPr>
        <w:widowControl w:val="1"/>
        <w:spacing w:after="0" w:line="240" w:lineRule="exact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                                  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М.С.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Дубровин</w:t>
      </w:r>
    </w:p>
    <w:p w14:paraId="71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</w:p>
    <w:p w14:paraId="72000000">
      <w:pPr>
        <w:sectPr>
          <w:headerReference r:id="rId6" w:type="default"/>
          <w:headerReference r:id="rId3" w:type="first"/>
          <w:pgSz w:h="16838" w:orient="portrait" w:w="11905"/>
          <w:pgMar w:bottom="993" w:footer="720" w:gutter="0" w:header="720" w:left="1985" w:right="567" w:top="1134"/>
          <w:pgNumType w:start="1"/>
          <w:titlePg/>
        </w:sectPr>
      </w:pPr>
    </w:p>
    <w:tbl>
      <w:tblPr>
        <w:tblStyle w:val="Style_7"/>
        <w:tblW w:type="auto" w:w="0"/>
        <w:tblInd w:type="dxa" w:w="10488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925"/>
      </w:tblGrid>
      <w:tr>
        <w:tc>
          <w:tcPr>
            <w:tcW w:type="dxa" w:w="49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3000000">
            <w:pPr>
              <w:widowControl w:val="0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1</w:t>
            </w:r>
          </w:p>
          <w:p w14:paraId="74000000">
            <w:pPr>
              <w:widowControl w:val="0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9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5000000">
            <w:pPr>
              <w:pStyle w:val="Style_4"/>
              <w:widowControl w:val="1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порядку ведения реестра межведомственных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и внутриведомственных процессов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в администрации города Ставрополя, отраслевых (функциональных)                               и территориальных органах администрации города Ставрополя</w:t>
            </w:r>
          </w:p>
          <w:p w14:paraId="76000000">
            <w:pPr>
              <w:widowControl w:val="0"/>
              <w:tabs>
                <w:tab w:leader="none" w:pos="4536" w:val="left"/>
                <w:tab w:leader="none" w:pos="4962" w:val="left"/>
              </w:tabs>
              <w:spacing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7000000">
      <w:pPr>
        <w:widowControl w:val="0"/>
        <w:tabs>
          <w:tab w:leader="none" w:pos="3857" w:val="left"/>
        </w:tabs>
        <w:spacing w:after="0" w:line="240" w:lineRule="exact"/>
        <w:ind/>
        <w:rPr>
          <w:rFonts w:ascii="Times New Roman" w:hAnsi="Times New Roman"/>
          <w:sz w:val="28"/>
        </w:rPr>
      </w:pPr>
    </w:p>
    <w:p w14:paraId="78000000">
      <w:pPr>
        <w:widowControl w:val="0"/>
        <w:tabs>
          <w:tab w:leader="none" w:pos="3857" w:val="left"/>
        </w:tabs>
        <w:spacing w:after="0" w:line="240" w:lineRule="exact"/>
        <w:ind/>
        <w:jc w:val="right"/>
        <w:rPr>
          <w:rFonts w:ascii="Times New Roman" w:hAnsi="Times New Roman"/>
          <w:sz w:val="28"/>
        </w:rPr>
      </w:pPr>
    </w:p>
    <w:p w14:paraId="79000000">
      <w:pPr>
        <w:widowControl w:val="0"/>
        <w:tabs>
          <w:tab w:leader="none" w:pos="3857" w:val="left"/>
        </w:tabs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РЕЕСТР</w:t>
      </w:r>
    </w:p>
    <w:p w14:paraId="7A000000">
      <w:pPr>
        <w:widowControl w:val="0"/>
        <w:tabs>
          <w:tab w:leader="none" w:pos="3857" w:val="left"/>
        </w:tabs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</w:rPr>
        <w:t>межведомственных и внутриведомственных</w:t>
      </w:r>
      <w:r>
        <w:rPr>
          <w:rFonts w:ascii="Times New Roman" w:hAnsi="Times New Roman"/>
          <w:sz w:val="28"/>
        </w:rPr>
        <w:t xml:space="preserve"> процессов</w:t>
      </w:r>
    </w:p>
    <w:p w14:paraId="7B000000">
      <w:pPr>
        <w:widowControl w:val="0"/>
        <w:tabs>
          <w:tab w:leader="none" w:pos="7440" w:val="left"/>
        </w:tabs>
        <w:spacing w:after="0" w:line="240" w:lineRule="exact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tblInd w:type="dxa" w:w="-459"/>
        <w:tblLayout w:type="fixed"/>
      </w:tblPr>
      <w:tblGrid>
        <w:gridCol w:w="1276"/>
        <w:gridCol w:w="1134"/>
        <w:gridCol w:w="1276"/>
        <w:gridCol w:w="1275"/>
        <w:gridCol w:w="992"/>
        <w:gridCol w:w="1141"/>
        <w:gridCol w:w="1270"/>
        <w:gridCol w:w="992"/>
        <w:gridCol w:w="709"/>
        <w:gridCol w:w="925"/>
        <w:gridCol w:w="783"/>
        <w:gridCol w:w="925"/>
        <w:gridCol w:w="898"/>
        <w:gridCol w:w="1152"/>
        <w:gridCol w:w="1270"/>
      </w:tblGrid>
      <w:tr>
        <w:tc>
          <w:tcPr>
            <w:tcW w:type="dxa" w:w="1276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Идентифи</w:t>
            </w:r>
          </w:p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катор процесса*</w:t>
            </w:r>
          </w:p>
        </w:tc>
        <w:tc>
          <w:tcPr>
            <w:tcW w:type="dxa" w:w="1134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Жизненная ситуация</w:t>
            </w:r>
          </w:p>
        </w:tc>
        <w:tc>
          <w:tcPr>
            <w:tcW w:type="dxa" w:w="1276"/>
          </w:tcPr>
          <w:p w14:paraId="7F000000">
            <w:pPr>
              <w:widowControl w:val="1"/>
              <w:ind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услуги, функции, сервиса*</w:t>
            </w:r>
          </w:p>
        </w:tc>
        <w:tc>
          <w:tcPr>
            <w:tcW w:type="dxa" w:w="1275"/>
          </w:tcPr>
          <w:p w14:paraId="80000000">
            <w:pPr>
              <w:widowControl w:val="1"/>
              <w:ind w:left="-108" w:right="-6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Регулирующий акт</w:t>
            </w:r>
          </w:p>
        </w:tc>
        <w:tc>
          <w:tcPr>
            <w:tcW w:type="dxa" w:w="992"/>
          </w:tcPr>
          <w:p w14:paraId="81000000">
            <w:pPr>
              <w:widowControl w:val="1"/>
              <w:ind w:lef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Группа процессов</w:t>
            </w:r>
          </w:p>
        </w:tc>
        <w:tc>
          <w:tcPr>
            <w:tcW w:type="dxa" w:w="1141"/>
          </w:tcPr>
          <w:p w14:paraId="82000000">
            <w:pPr>
              <w:widowControl w:val="1"/>
              <w:ind w:left="-107" w:right="-10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процесса*</w:t>
            </w:r>
          </w:p>
        </w:tc>
        <w:tc>
          <w:tcPr>
            <w:tcW w:type="dxa" w:w="1270"/>
          </w:tcPr>
          <w:p w14:paraId="83000000">
            <w:pPr>
              <w:widowControl w:val="1"/>
              <w:ind w:left="-114" w:right="-9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Ответственный за процесс*</w:t>
            </w:r>
          </w:p>
        </w:tc>
        <w:tc>
          <w:tcPr>
            <w:tcW w:type="dxa" w:w="992"/>
          </w:tcPr>
          <w:p w14:paraId="84000000">
            <w:pPr>
              <w:widowControl w:val="1"/>
              <w:ind w:left="-108" w:right="-10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Статус процесса (статус реинжини</w:t>
            </w:r>
          </w:p>
          <w:p w14:paraId="85000000">
            <w:pPr>
              <w:widowControl w:val="1"/>
              <w:ind w:left="-108" w:right="-10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ринга)*</w:t>
            </w:r>
          </w:p>
        </w:tc>
        <w:tc>
          <w:tcPr>
            <w:tcW w:type="dxa" w:w="709"/>
          </w:tcPr>
          <w:p w14:paraId="86000000">
            <w:pPr>
              <w:widowControl w:val="1"/>
              <w:ind w:left="-108" w:right="-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Клиент</w:t>
            </w:r>
          </w:p>
        </w:tc>
        <w:tc>
          <w:tcPr>
            <w:tcW w:type="dxa" w:w="925"/>
          </w:tcPr>
          <w:p w14:paraId="87000000">
            <w:pPr>
              <w:widowControl w:val="1"/>
              <w:ind w:left="-10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Ценност</w:t>
            </w:r>
            <w:r>
              <w:rPr>
                <w:rFonts w:ascii="Times New Roman" w:hAnsi="Times New Roman"/>
                <w:sz w:val="18"/>
              </w:rPr>
              <w:t>ь</w:t>
            </w:r>
            <w:r>
              <w:rPr>
                <w:rFonts w:ascii="Times New Roman" w:hAnsi="Times New Roman"/>
                <w:sz w:val="18"/>
              </w:rPr>
              <w:t xml:space="preserve"> для клиента</w:t>
            </w:r>
          </w:p>
        </w:tc>
        <w:tc>
          <w:tcPr>
            <w:tcW w:type="dxa" w:w="783"/>
          </w:tcPr>
          <w:p w14:paraId="88000000">
            <w:pPr>
              <w:widowControl w:val="1"/>
              <w:ind w:left="-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Данные на входе</w:t>
            </w:r>
          </w:p>
        </w:tc>
        <w:tc>
          <w:tcPr>
            <w:tcW w:type="dxa" w:w="925"/>
          </w:tcPr>
          <w:p w14:paraId="89000000">
            <w:pPr>
              <w:widowControl w:val="1"/>
              <w:ind w:left="-10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Результат на выходе</w:t>
            </w:r>
          </w:p>
        </w:tc>
        <w:tc>
          <w:tcPr>
            <w:tcW w:type="dxa" w:w="898"/>
          </w:tcPr>
          <w:p w14:paraId="8A000000">
            <w:pPr>
              <w:widowControl w:val="1"/>
              <w:ind w:left="-184" w:right="-12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Связь с другими процессами</w:t>
            </w:r>
          </w:p>
        </w:tc>
        <w:tc>
          <w:tcPr>
            <w:tcW w:type="dxa" w:w="1152"/>
          </w:tcPr>
          <w:p w14:paraId="8B000000">
            <w:pPr>
              <w:widowControl w:val="1"/>
              <w:ind w:left="-90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процесса (цифровой/ нецифровой)</w:t>
            </w:r>
          </w:p>
        </w:tc>
        <w:tc>
          <w:tcPr>
            <w:tcW w:type="dxa" w:w="1270"/>
          </w:tcPr>
          <w:p w14:paraId="8C000000">
            <w:pPr>
              <w:widowControl w:val="1"/>
              <w:ind w:left="-108" w:right="-14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Точка размещения </w:t>
            </w:r>
          </w:p>
          <w:p w14:paraId="8D000000">
            <w:pPr>
              <w:widowControl w:val="1"/>
              <w:ind w:left="-108" w:right="-14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 цифровом виде</w:t>
            </w:r>
          </w:p>
          <w:p w14:paraId="8E000000">
            <w:pPr>
              <w:widowControl w:val="1"/>
              <w:ind w:left="-108" w:right="-14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(ЕПГУ, РПГУ, </w:t>
            </w:r>
            <w:r>
              <w:rPr>
                <w:rFonts w:ascii="Times New Roman" w:hAnsi="Times New Roman"/>
                <w:sz w:val="18"/>
              </w:rPr>
              <w:t>с</w:t>
            </w:r>
            <w:r>
              <w:rPr>
                <w:rFonts w:ascii="Times New Roman" w:hAnsi="Times New Roman"/>
                <w:sz w:val="18"/>
              </w:rPr>
              <w:t>айт)</w:t>
            </w:r>
          </w:p>
        </w:tc>
      </w:tr>
      <w:tr>
        <w:tc>
          <w:tcPr>
            <w:tcW w:type="dxa" w:w="1276"/>
          </w:tcPr>
          <w:p w14:paraId="8F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134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276"/>
          </w:tcPr>
          <w:p w14:paraId="91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1275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992"/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1141"/>
          </w:tcPr>
          <w:p w14:paraId="94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270"/>
          </w:tcPr>
          <w:p w14:paraId="95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992"/>
          </w:tcPr>
          <w:p w14:paraId="96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709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925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783"/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925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898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1152"/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1270"/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>
        <w:tc>
          <w:tcPr>
            <w:tcW w:type="dxa" w:w="1276"/>
          </w:tcPr>
          <w:p w14:paraId="9E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34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6"/>
          </w:tcPr>
          <w:p w14:paraId="A0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5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1"/>
          </w:tcPr>
          <w:p w14:paraId="A3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0"/>
          </w:tcPr>
          <w:p w14:paraId="A4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</w:tcPr>
          <w:p w14:paraId="A5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709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25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783"/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25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898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52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0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AD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AE000000">
      <w:pPr>
        <w:widowControl w:val="1"/>
        <w:spacing w:after="0" w:line="240" w:lineRule="auto"/>
        <w:ind w:left="-567" w:right="-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 – </w:t>
      </w:r>
      <w:r>
        <w:rPr>
          <w:rFonts w:ascii="Times New Roman" w:hAnsi="Times New Roman"/>
          <w:sz w:val="24"/>
        </w:rPr>
        <w:t>разделы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обязательные к заполнению</w:t>
      </w:r>
    </w:p>
    <w:p w14:paraId="AF000000">
      <w:pPr>
        <w:widowControl w:val="1"/>
        <w:spacing w:after="0" w:line="240" w:lineRule="exact"/>
        <w:ind w:left="-426" w:right="-598"/>
        <w:rPr>
          <w:rFonts w:ascii="Times New Roman" w:hAnsi="Times New Roman"/>
          <w:sz w:val="28"/>
        </w:rPr>
      </w:pPr>
    </w:p>
    <w:p w14:paraId="B0000000">
      <w:pPr>
        <w:widowControl w:val="0"/>
        <w:spacing w:after="0" w:line="240" w:lineRule="auto"/>
        <w:ind/>
        <w:jc w:val="both"/>
        <w:rPr>
          <w:sz w:val="28"/>
        </w:rPr>
      </w:pPr>
    </w:p>
    <w:p w14:paraId="B1000000">
      <w:pPr>
        <w:widowControl w:val="1"/>
        <w:spacing w:after="0" w:line="240" w:lineRule="auto"/>
        <w:ind/>
        <w:rPr>
          <w:sz w:val="28"/>
        </w:rPr>
      </w:pPr>
    </w:p>
    <w:p w14:paraId="B2000000">
      <w:pPr>
        <w:widowControl w:val="1"/>
        <w:spacing w:after="0" w:line="240" w:lineRule="auto"/>
        <w:ind/>
        <w:rPr>
          <w:sz w:val="28"/>
        </w:rPr>
      </w:pPr>
    </w:p>
    <w:p w14:paraId="B3000000">
      <w:pPr>
        <w:widowControl w:val="0"/>
        <w:spacing w:after="0" w:line="240" w:lineRule="auto"/>
        <w:ind w:left="-108"/>
        <w:jc w:val="center"/>
        <w:rPr>
          <w:rFonts w:ascii="Times New Roman" w:hAnsi="Times New Roman"/>
          <w:sz w:val="28"/>
          <w:vertAlign w:val="superscript"/>
        </w:rPr>
      </w:pPr>
    </w:p>
    <w:p w14:paraId="B4000000">
      <w:pPr>
        <w:sectPr>
          <w:headerReference r:id="rId4" w:type="default"/>
          <w:headerReference r:id="rId5" w:type="first"/>
          <w:pgSz w:h="11905" w:orient="landscape" w:w="16838"/>
          <w:pgMar w:bottom="567" w:footer="720" w:gutter="0" w:header="720" w:left="1134" w:right="539" w:top="1985"/>
          <w:pgNumType w:start="1"/>
          <w:titlePg/>
        </w:sectPr>
      </w:pPr>
    </w:p>
    <w:tbl>
      <w:tblPr>
        <w:tblStyle w:val="Style_7"/>
        <w:tblW w:type="auto" w:w="0"/>
        <w:tblInd w:type="dxa" w:w="464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925"/>
      </w:tblGrid>
      <w:tr>
        <w:tc>
          <w:tcPr>
            <w:tcW w:type="dxa" w:w="49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5000000">
            <w:pPr>
              <w:widowControl w:val="0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14:paraId="B6000000">
            <w:pPr>
              <w:widowControl w:val="0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49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7000000">
            <w:pPr>
              <w:pStyle w:val="Style_4"/>
              <w:widowControl w:val="1"/>
              <w:spacing w:line="240" w:lineRule="exact"/>
              <w:ind w:left="1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орядку </w:t>
            </w:r>
            <w:r>
              <w:rPr>
                <w:rFonts w:ascii="Times New Roman" w:hAnsi="Times New Roman"/>
                <w:sz w:val="28"/>
              </w:rPr>
              <w:t>ведения реестра межведомственных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и внутриведомственных процессов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в администрации города Ставрополя, отраслевых (функциональных)                               и территориальных органах администрации город</w:t>
            </w:r>
            <w:r>
              <w:rPr>
                <w:rFonts w:ascii="Times New Roman" w:hAnsi="Times New Roman"/>
                <w:spacing w:val="-1"/>
                <w:sz w:val="28"/>
              </w:rPr>
              <w:t>а Ставрополя</w:t>
            </w:r>
          </w:p>
        </w:tc>
      </w:tr>
    </w:tbl>
    <w:p w14:paraId="B8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B9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ТИПОВОЙ ПЕРЕЧЕНЬ ПРОЦЕССОВ</w:t>
      </w:r>
    </w:p>
    <w:p w14:paraId="BA000000">
      <w:pPr>
        <w:pStyle w:val="Style_9"/>
        <w:widowControl w:val="0"/>
        <w:spacing w:line="240" w:lineRule="exact"/>
        <w:ind/>
        <w:jc w:val="center"/>
        <w:rPr>
          <w:sz w:val="28"/>
        </w:rPr>
      </w:pPr>
    </w:p>
    <w:tbl>
      <w:tblPr>
        <w:tblStyle w:val="Style_7"/>
        <w:tblW w:type="auto" w:w="0"/>
        <w:tblInd w:type="dxa" w:w="-137"/>
        <w:tblLayout w:type="fixed"/>
      </w:tblPr>
      <w:tblGrid>
        <w:gridCol w:w="426"/>
        <w:gridCol w:w="1701"/>
        <w:gridCol w:w="2551"/>
        <w:gridCol w:w="4820"/>
      </w:tblGrid>
      <w:tr>
        <w:trPr>
          <w:trHeight w:hRule="atLeast" w:val="398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п/п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Направление деятельности (группа процессов)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процесса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Цель выполнения процесса</w:t>
            </w:r>
          </w:p>
        </w:tc>
      </w:tr>
      <w:tr>
        <w:trPr>
          <w:trHeight w:hRule="atLeast" w:val="28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150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Предоставление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государственных и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муниципальных услуг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нформирование о предоставлении </w:t>
            </w:r>
            <w:r>
              <w:rPr>
                <w:rFonts w:ascii="Times New Roman" w:hAnsi="Times New Roman"/>
                <w:color w:val="000000"/>
                <w:sz w:val="20"/>
              </w:rPr>
              <w:t>государственной либо муниципальной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услуги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(далее – услуга)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получение клиентом полной и достоверной инф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ормации о порядке предоставления услуги </w:t>
            </w:r>
            <w:r>
              <w:rPr>
                <w:rFonts w:ascii="Times New Roman" w:hAnsi="Times New Roman"/>
                <w:color w:val="000000"/>
                <w:sz w:val="20"/>
              </w:rPr>
              <w:t>незав</w:t>
            </w:r>
            <w:r>
              <w:rPr>
                <w:rFonts w:ascii="Times New Roman" w:hAnsi="Times New Roman"/>
                <w:color w:val="000000"/>
                <w:sz w:val="20"/>
              </w:rPr>
              <w:t>исимо от способа информирования;</w:t>
            </w:r>
          </w:p>
          <w:p w14:paraId="C7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осведомленность клиента о порядке предоставления услуги</w:t>
            </w:r>
          </w:p>
        </w:tc>
      </w:tr>
      <w:tr>
        <w:trPr>
          <w:trHeight w:hRule="atLeast" w:val="982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о</w:t>
            </w:r>
            <w:r>
              <w:rPr>
                <w:rFonts w:ascii="Times New Roman" w:hAnsi="Times New Roman"/>
                <w:color w:val="000000"/>
                <w:sz w:val="20"/>
              </w:rPr>
              <w:t>рганизация подачи заявителем запроса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реализации пр</w:t>
            </w:r>
            <w:r>
              <w:rPr>
                <w:rFonts w:ascii="Times New Roman" w:hAnsi="Times New Roman"/>
                <w:color w:val="000000"/>
                <w:sz w:val="20"/>
              </w:rPr>
              <w:t>ава клиента на получение услуги;</w:t>
            </w:r>
          </w:p>
          <w:p w14:paraId="CA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доступность, простота и удобство обращения за получением услуги</w:t>
            </w:r>
          </w:p>
        </w:tc>
      </w:tr>
      <w:tr>
        <w:trPr>
          <w:trHeight w:hRule="atLeast" w:val="967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п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рием </w:t>
            </w:r>
          </w:p>
          <w:p w14:paraId="CC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регистрация запроса заявителя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фиксация момента начала предоставления услуги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CE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предоставления услуги за счет оптимизации внутренних/технических процедур, проводимых в рамках предоставления услуги</w:t>
            </w:r>
          </w:p>
        </w:tc>
      </w:tr>
      <w:tr>
        <w:trPr>
          <w:trHeight w:hRule="atLeast" w:val="120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онтроль оплаты пошлины за предоставление услуги </w:t>
            </w:r>
          </w:p>
          <w:p w14:paraId="D0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уплаты иных платежей (при необходимости)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возможности предоставления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муниципальной услуги;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D2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сокращение временных и финансовых затрат, связанных с получением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услуги</w:t>
            </w:r>
          </w:p>
        </w:tc>
      </w:tr>
      <w:tr>
        <w:trPr>
          <w:trHeight w:hRule="atLeast" w:val="180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5) 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апрос и получение документов (сведений), необходимых для предоставления услуги, </w:t>
            </w:r>
          </w:p>
          <w:p w14:paraId="D4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порядке межведомственного взаимодействия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формирование полного комплекта документов (сведений), необхо</w:t>
            </w:r>
            <w:r>
              <w:rPr>
                <w:rFonts w:ascii="Times New Roman" w:hAnsi="Times New Roman"/>
                <w:color w:val="000000"/>
                <w:sz w:val="20"/>
              </w:rPr>
              <w:t>димых для предоставления услуги;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D6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сокращение общего срока предоставления услуги за счет использования межведомственных процедур, сокращение временных </w:t>
            </w:r>
          </w:p>
          <w:p w14:paraId="D7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финансовых затрат, связанных с получением услуги</w:t>
            </w:r>
          </w:p>
        </w:tc>
      </w:tr>
      <w:tr>
        <w:trPr>
          <w:trHeight w:hRule="atLeast" w:val="965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6) р</w:t>
            </w:r>
            <w:r>
              <w:rPr>
                <w:rFonts w:ascii="Times New Roman" w:hAnsi="Times New Roman"/>
                <w:color w:val="000000"/>
                <w:sz w:val="20"/>
              </w:rPr>
              <w:t>ассмотрение запроса и принятие решения по результатам его рассмотрения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</w:t>
            </w:r>
            <w:r>
              <w:rPr>
                <w:rFonts w:ascii="Times New Roman" w:hAnsi="Times New Roman"/>
                <w:color w:val="000000"/>
                <w:sz w:val="20"/>
              </w:rPr>
              <w:t>ние принятия решения по запросу; 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предоставления услуги за счет использования внутриведомственных процедур</w:t>
            </w:r>
          </w:p>
        </w:tc>
      </w:tr>
      <w:tr>
        <w:trPr>
          <w:trHeight w:hRule="atLeast" w:val="282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7) у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ведомление заявителя о ходе предоставления услуги </w:t>
            </w:r>
          </w:p>
          <w:p w14:paraId="DB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ее результатах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своевременное предоставление клиенту информации о завершении выполнения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администрацией города Ставрополя, отраслевым (функциональным) и территориальным органом администрации города Ставрополя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(далее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соответственно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администрация, орган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) предусмотренных действий в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процессе предоставления услуги;</w:t>
            </w:r>
          </w:p>
          <w:p w14:paraId="DD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оперативное информирование клиента </w:t>
            </w:r>
          </w:p>
          <w:p w14:paraId="DE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 ходе предоставления государственной услуги и ее результатах в целях обеспечения реализации им своих прав и защиты законных интересов</w:t>
            </w: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97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8) п</w:t>
            </w:r>
            <w:r>
              <w:rPr>
                <w:rFonts w:ascii="Times New Roman" w:hAnsi="Times New Roman"/>
                <w:color w:val="000000"/>
                <w:sz w:val="20"/>
              </w:rPr>
              <w:t>редоставление результата услуги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удовлетворение потребности клиента, обратившегося за предоставлением услуги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E7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заинтересованность клиента в получении результата услуги в наиболее удобной форме</w:t>
            </w:r>
          </w:p>
        </w:tc>
      </w:tr>
      <w:tr>
        <w:trPr>
          <w:trHeight w:hRule="atLeast" w:val="112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9) о</w:t>
            </w:r>
            <w:r>
              <w:rPr>
                <w:rFonts w:ascii="Times New Roman" w:hAnsi="Times New Roman"/>
                <w:color w:val="000000"/>
                <w:sz w:val="20"/>
              </w:rPr>
              <w:t>ценка заявителем качества предоставления услуги (обратная связь)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получение обратной связи от клиента о качестве предоставления услуги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EA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возможность оценки клиентом качества предоставления услуги доступным ему способом </w:t>
            </w:r>
          </w:p>
          <w:p w14:paraId="EB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в удобное время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10) д</w:t>
            </w:r>
            <w:r>
              <w:rPr>
                <w:rFonts w:ascii="Times New Roman" w:hAnsi="Times New Roman"/>
                <w:color w:val="000000"/>
                <w:sz w:val="20"/>
              </w:rPr>
              <w:t>осудебное обжалование решений и действий (бездействия) органа, предоставляющего услугу, а также его должностных лиц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принятия законных и обоснованных решений (совершения действий), исправления возни</w:t>
            </w:r>
            <w:r>
              <w:rPr>
                <w:rFonts w:ascii="Times New Roman" w:hAnsi="Times New Roman"/>
                <w:color w:val="000000"/>
                <w:sz w:val="20"/>
              </w:rPr>
              <w:t>кающих ошибок в правоприменении;</w:t>
            </w:r>
          </w:p>
          <w:p w14:paraId="EE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доступ к защите своих прав и законных интересов, возможность быстрого и эффективного исправления ошибок в правоприменении</w:t>
            </w:r>
          </w:p>
        </w:tc>
      </w:tr>
      <w:tr>
        <w:trPr>
          <w:trHeight w:hRule="atLeast" w:val="1182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мер государственной поддержки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ф</w:t>
            </w:r>
            <w:r>
              <w:rPr>
                <w:rFonts w:ascii="Times New Roman" w:hAnsi="Times New Roman"/>
                <w:color w:val="000000"/>
                <w:sz w:val="20"/>
              </w:rPr>
              <w:t>инансирование реализации меры поддержки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финансовое обеспечение возможности реализации меры поддержки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F3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обеспечение фактической возможности беспрепятственной реализации клиентом своих прав и законных интересов в установленном порядке</w:t>
            </w:r>
          </w:p>
        </w:tc>
      </w:tr>
      <w:tr>
        <w:trPr>
          <w:trHeight w:hRule="atLeast" w:val="112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и</w:t>
            </w:r>
            <w:r>
              <w:rPr>
                <w:rFonts w:ascii="Times New Roman" w:hAnsi="Times New Roman"/>
                <w:color w:val="000000"/>
                <w:sz w:val="20"/>
              </w:rPr>
              <w:t>нформирование о мере поддержки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цель: обеспечение получения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клиентом полной и достоверной информации о предоставлении мер поддержки незав</w:t>
            </w:r>
            <w:r>
              <w:rPr>
                <w:rFonts w:ascii="Times New Roman" w:hAnsi="Times New Roman"/>
                <w:color w:val="000000"/>
                <w:sz w:val="20"/>
              </w:rPr>
              <w:t>исимо от способа информирования;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F6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осведомленность клиента о предоставлении мер поддержки</w:t>
            </w:r>
          </w:p>
        </w:tc>
      </w:tr>
      <w:tr>
        <w:trPr>
          <w:trHeight w:hRule="atLeast" w:val="947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о</w:t>
            </w:r>
            <w:r>
              <w:rPr>
                <w:rFonts w:ascii="Times New Roman" w:hAnsi="Times New Roman"/>
                <w:color w:val="000000"/>
                <w:sz w:val="20"/>
              </w:rPr>
              <w:t>рганизация направления заявления на получение меры поддержки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реализации права клиента на получение меры поддержки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F9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доступность, простота и удобство обращения за получением меры поддержки</w:t>
            </w:r>
          </w:p>
        </w:tc>
      </w:tr>
      <w:tr>
        <w:trPr>
          <w:trHeight w:hRule="atLeast" w:val="198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з</w:t>
            </w:r>
            <w:r>
              <w:rPr>
                <w:rFonts w:ascii="Times New Roman" w:hAnsi="Times New Roman"/>
                <w:color w:val="000000"/>
                <w:sz w:val="20"/>
              </w:rPr>
              <w:t>апрос и получение документов (сведений), необходимых для предоставления мер государственной поддержки, в порядке межведомственного взаимодействия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формирование полного комплекта документов (сведений), необходимых д</w:t>
            </w:r>
            <w:r>
              <w:rPr>
                <w:rFonts w:ascii="Times New Roman" w:hAnsi="Times New Roman"/>
                <w:color w:val="000000"/>
                <w:sz w:val="20"/>
              </w:rPr>
              <w:t>ля предоставления мер поддержки;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FC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предоставления мер поддержки за счет использования межве</w:t>
            </w:r>
            <w:r>
              <w:rPr>
                <w:rFonts w:ascii="Times New Roman" w:hAnsi="Times New Roman"/>
                <w:color w:val="000000"/>
                <w:sz w:val="20"/>
              </w:rPr>
              <w:t>домственных процедур, сокращения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временных и финансовых затрат, связанных с получением мер поддержки</w:t>
            </w:r>
          </w:p>
        </w:tc>
      </w:tr>
      <w:tr>
        <w:trPr>
          <w:trHeight w:hRule="atLeast" w:val="139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5) рассмотрение заявления о предоставлении меры поддержки и принятие решения по результатам его рассмотрения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цель: обеспечение принятия решения по заявлению о предоставлении меры поддержки; </w:t>
            </w:r>
          </w:p>
          <w:p w14:paraId="FF00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ценность: сокращение общего срока предоставления мер поддержки за счет использования внутриведомственных процедур</w:t>
            </w:r>
          </w:p>
        </w:tc>
      </w:tr>
      <w:tr>
        <w:trPr>
          <w:trHeight w:hRule="atLeast" w:val="129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6) п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редоставление меры поддержки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выполнение социальных обязательств, удовлетворение потребности клиента, обратившегося за предоставлением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государственной меры поддержки;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02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заинтересованность клиента в получении результата услуги в наиболее удобной форме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7) д</w:t>
            </w:r>
            <w:r>
              <w:rPr>
                <w:rFonts w:ascii="Times New Roman" w:hAnsi="Times New Roman"/>
                <w:color w:val="000000"/>
                <w:sz w:val="20"/>
              </w:rPr>
              <w:t>осудебное обжалование решений и действий (бездействия) органа, предоставляющего меру поддержки, а также его должностных лиц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принятия законных и обоснованных решений (совершения действий) при предоставлении меры поддержки, исправления возни</w:t>
            </w:r>
            <w:r>
              <w:rPr>
                <w:rFonts w:ascii="Times New Roman" w:hAnsi="Times New Roman"/>
                <w:color w:val="000000"/>
                <w:sz w:val="20"/>
              </w:rPr>
              <w:t>кающих ошибок в правоприменении;</w:t>
            </w:r>
          </w:p>
          <w:p w14:paraId="05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доступ к защите своих прав и законных интересов при получении меры поддержки, возможность быстрого и эффективного исправления ошибок в правоприменении</w:t>
            </w: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358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контроль 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п</w:t>
            </w:r>
            <w:r>
              <w:rPr>
                <w:rFonts w:ascii="Times New Roman" w:hAnsi="Times New Roman"/>
                <w:color w:val="000000"/>
                <w:sz w:val="20"/>
              </w:rPr>
              <w:t>ланирование проведения контрольных мероприятий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ежегодное планирование контрольной деятельности, обеспечение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реализации контрольных функции;</w:t>
            </w:r>
          </w:p>
          <w:p w14:paraId="0E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прогнозирование проведения контрольных мероприятий в отношении клиента (деятельности клиента)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п</w:t>
            </w:r>
            <w:r>
              <w:rPr>
                <w:rFonts w:ascii="Times New Roman" w:hAnsi="Times New Roman"/>
                <w:color w:val="000000"/>
                <w:sz w:val="20"/>
              </w:rPr>
              <w:t>ринятие решения о проведении контрольного мероприятия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ос</w:t>
            </w:r>
            <w:r>
              <w:rPr>
                <w:rFonts w:ascii="Times New Roman" w:hAnsi="Times New Roman"/>
                <w:color w:val="000000"/>
                <w:sz w:val="20"/>
              </w:rPr>
              <w:t>уществления контрольной функции;</w:t>
            </w:r>
          </w:p>
          <w:p w14:paraId="11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обеспечение защиты законных интересов клиента при принятии решения о проведении контрольного мероприятия, исключение принятия необоснованных решений о проведении таких мероприятий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о</w:t>
            </w:r>
            <w:r>
              <w:rPr>
                <w:rFonts w:ascii="Times New Roman" w:hAnsi="Times New Roman"/>
                <w:color w:val="000000"/>
                <w:sz w:val="20"/>
              </w:rPr>
              <w:t>рганизация и проведение контрольного мероприятия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непосредственное ос</w:t>
            </w:r>
            <w:r>
              <w:rPr>
                <w:rFonts w:ascii="Times New Roman" w:hAnsi="Times New Roman"/>
                <w:color w:val="000000"/>
                <w:sz w:val="20"/>
              </w:rPr>
              <w:t>уществление контрольной функции;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14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приоритет контрольных мероприятий без взаимодействия с контролируемым лицом, минимизация временных и иных затрат клиента, связанных с осуществлением в отношении него контрольной деятельности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апрос и получение документов (сведений), выполнение иных мероприятий в порядке межведомственного взаимодействия при осуществлении контроля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организация и формирован</w:t>
            </w:r>
            <w:r>
              <w:rPr>
                <w:rFonts w:ascii="Times New Roman" w:hAnsi="Times New Roman"/>
                <w:color w:val="000000"/>
                <w:sz w:val="20"/>
              </w:rPr>
              <w:t>ие эффективной системы контроля;</w:t>
            </w:r>
          </w:p>
          <w:p w14:paraId="17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минимизация взаимодействия клиента </w:t>
            </w:r>
          </w:p>
          <w:p w14:paraId="18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 контрольными органами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5) о</w:t>
            </w:r>
            <w:r>
              <w:rPr>
                <w:rFonts w:ascii="Times New Roman" w:hAnsi="Times New Roman"/>
                <w:color w:val="000000"/>
                <w:sz w:val="20"/>
              </w:rPr>
              <w:t>формление результатов контрольного мероприятия и ознакомление с его результатами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документальная фиксация результатов контрольного мероприятия, оперативное уведомление </w:t>
            </w:r>
            <w:r>
              <w:rPr>
                <w:rFonts w:ascii="Times New Roman" w:hAnsi="Times New Roman"/>
                <w:color w:val="000000"/>
                <w:sz w:val="20"/>
              </w:rPr>
              <w:t>о таких р</w:t>
            </w:r>
            <w:r>
              <w:rPr>
                <w:rFonts w:ascii="Times New Roman" w:hAnsi="Times New Roman"/>
                <w:color w:val="000000"/>
                <w:sz w:val="20"/>
              </w:rPr>
              <w:t>езультатах контролируемого лица;</w:t>
            </w:r>
          </w:p>
          <w:p w14:paraId="1B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полнота документальной фиксации выявленных нарушений обязательных требований, оперативность уведомления клиента о результатах контрольных мероприятий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6) о</w:t>
            </w:r>
            <w:r>
              <w:rPr>
                <w:rFonts w:ascii="Times New Roman" w:hAnsi="Times New Roman"/>
                <w:color w:val="000000"/>
                <w:sz w:val="20"/>
              </w:rPr>
              <w:t>бжалование решений контрольных органов, действий (бездействия) их должностных лиц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принятия законных и обоснованных решений (совершения действий) при осуществлении контроля, исправления возникающих ошибок в правоприменении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1E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доступ клиентов к защите своих прав </w:t>
            </w:r>
          </w:p>
          <w:p w14:paraId="1F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 законных интересов, затрагиваемых при осуществлении контроля, возможность быстрого </w:t>
            </w:r>
          </w:p>
          <w:p w14:paraId="20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 эффективного исправления ошибок в правоприменении</w:t>
            </w:r>
          </w:p>
        </w:tc>
      </w:tr>
      <w:tr>
        <w:trPr>
          <w:trHeight w:hRule="atLeast" w:val="113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7) к</w:t>
            </w:r>
            <w:r>
              <w:rPr>
                <w:rFonts w:ascii="Times New Roman" w:hAnsi="Times New Roman"/>
                <w:color w:val="000000"/>
                <w:sz w:val="20"/>
              </w:rPr>
              <w:t>онтроль за исполнением решений контрольных органов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исполнения решений по резу</w:t>
            </w:r>
            <w:r>
              <w:rPr>
                <w:rFonts w:ascii="Times New Roman" w:hAnsi="Times New Roman"/>
                <w:color w:val="000000"/>
                <w:sz w:val="20"/>
              </w:rPr>
              <w:t>льтатам контрольных мероприятий;</w:t>
            </w:r>
          </w:p>
          <w:p w14:paraId="23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минимизация участия клиента в осуществлении контроля за исполнением решений контрольных органов</w:t>
            </w:r>
          </w:p>
        </w:tc>
      </w:tr>
      <w:tr>
        <w:trPr>
          <w:trHeight w:hRule="atLeast" w:val="103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8) о</w:t>
            </w:r>
            <w:r>
              <w:rPr>
                <w:rFonts w:ascii="Times New Roman" w:hAnsi="Times New Roman"/>
                <w:color w:val="000000"/>
                <w:sz w:val="20"/>
              </w:rPr>
              <w:t>ценка результативности и эффективности деятельности контрольных органов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определение результативности и эффекти</w:t>
            </w:r>
            <w:r>
              <w:rPr>
                <w:rFonts w:ascii="Times New Roman" w:hAnsi="Times New Roman"/>
                <w:color w:val="000000"/>
                <w:sz w:val="20"/>
              </w:rPr>
              <w:t>вности контрольной деятельности;</w:t>
            </w:r>
          </w:p>
          <w:p w14:paraId="26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непосредственной ценности для клиента не выявлено</w:t>
            </w:r>
          </w:p>
        </w:tc>
      </w:tr>
      <w:tr>
        <w:trPr>
          <w:trHeight w:hRule="atLeast" w:val="1133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9) п</w:t>
            </w:r>
            <w:r>
              <w:rPr>
                <w:rFonts w:ascii="Times New Roman" w:hAnsi="Times New Roman"/>
                <w:color w:val="000000"/>
                <w:sz w:val="20"/>
              </w:rPr>
              <w:t>рофилактика рисков причинения вреда (ущерба) охраняемым законом ценностям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стимулирование соблюдения обязательных требований клиентами, превенция причинения вреда (ущерба) охраняемым законом ценностям, повышение информированности о соб</w:t>
            </w:r>
            <w:r>
              <w:rPr>
                <w:rFonts w:ascii="Times New Roman" w:hAnsi="Times New Roman"/>
                <w:color w:val="000000"/>
                <w:sz w:val="20"/>
              </w:rPr>
              <w:t>людении обязательных требований;</w:t>
            </w:r>
          </w:p>
          <w:p w14:paraId="29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устранение условий, причин и факторов, </w:t>
            </w: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13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способных привести к нарушениям обязательных требований и (или) причинению вреда (ущерба) охраняемым законом ценностям, создание условий для доведения обязательных требований до клиентов, повышение информированности клиентов о способах их соблюдения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10) н</w:t>
            </w:r>
            <w:r>
              <w:rPr>
                <w:rFonts w:ascii="Times New Roman" w:hAnsi="Times New Roman"/>
                <w:color w:val="000000"/>
                <w:sz w:val="20"/>
              </w:rPr>
              <w:t>езависимая оценка соблюдения обязательных требований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организация и формирование эффективной системы контроля, экономия средств публично-правового воздейс</w:t>
            </w:r>
            <w:r>
              <w:rPr>
                <w:rFonts w:ascii="Times New Roman" w:hAnsi="Times New Roman"/>
                <w:color w:val="000000"/>
                <w:sz w:val="20"/>
              </w:rPr>
              <w:t>твия при осуществлении контроля;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34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</w:t>
            </w:r>
            <w:r>
              <w:rPr>
                <w:rFonts w:ascii="Times New Roman" w:hAnsi="Times New Roman"/>
                <w:color w:val="000000"/>
                <w:sz w:val="20"/>
              </w:rPr>
              <w:t>нность: минимизация взаимодействия клиента с контрольными органами за счет возможности оценки соблюдения обязательных требований без проведения контрольными органами проверочных мероприятий</w:t>
            </w:r>
          </w:p>
        </w:tc>
      </w:tr>
      <w:tr>
        <w:trPr>
          <w:trHeight w:hRule="atLeast" w:val="1044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Рассмотрение обращений и запросов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п</w:t>
            </w:r>
            <w:r>
              <w:rPr>
                <w:rFonts w:ascii="Times New Roman" w:hAnsi="Times New Roman"/>
                <w:color w:val="000000"/>
                <w:sz w:val="20"/>
              </w:rPr>
              <w:t>рием и регистрация обращений и запросов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фиксация момента по</w:t>
            </w:r>
            <w:r>
              <w:rPr>
                <w:rFonts w:ascii="Times New Roman" w:hAnsi="Times New Roman"/>
                <w:color w:val="000000"/>
                <w:sz w:val="20"/>
              </w:rPr>
              <w:t>ступления обращения или запроса;</w:t>
            </w:r>
          </w:p>
          <w:p w14:paraId="39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рассмотрения обращения или запроса за счет оптимизации внутренних/технических процедур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о</w:t>
            </w:r>
            <w:r>
              <w:rPr>
                <w:rFonts w:ascii="Times New Roman" w:hAnsi="Times New Roman"/>
                <w:color w:val="000000"/>
                <w:sz w:val="20"/>
              </w:rPr>
              <w:t>пределение исполнителей по рассмотрению обращений и запросов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рас</w:t>
            </w:r>
            <w:r>
              <w:rPr>
                <w:rFonts w:ascii="Times New Roman" w:hAnsi="Times New Roman"/>
                <w:color w:val="000000"/>
                <w:sz w:val="20"/>
              </w:rPr>
              <w:t>смотрения обращения или запроса;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3C010000">
            <w:pPr>
              <w:widowControl w:val="1"/>
              <w:ind w:left="142" w:right="142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</w:t>
            </w:r>
            <w:r>
              <w:rPr>
                <w:rFonts w:ascii="Times New Roman" w:hAnsi="Times New Roman"/>
                <w:sz w:val="20"/>
                <w:highlight w:val="white"/>
              </w:rPr>
              <w:t>объективное и всестороннее рассмотрение обращений и запросов в соответствии с компетенцией, повышение уровня удовлетворенности клиентов результатами рассмотрения их обращений, запросов</w:t>
            </w:r>
            <w:bookmarkStart w:id="3" w:name="undefined"/>
            <w:bookmarkEnd w:id="3"/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п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ереадресация обращений в государственный орган, орган местного самоуправления или должностному лицу, в компетенцию которых входит решение поставленных в обращении вопросов </w:t>
            </w:r>
          </w:p>
          <w:p w14:paraId="3E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(по компетенции)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рассмотрения обращения или запроса по </w:t>
            </w:r>
            <w:r>
              <w:rPr>
                <w:rFonts w:ascii="Times New Roman" w:hAnsi="Times New Roman"/>
                <w:color w:val="000000"/>
                <w:sz w:val="20"/>
              </w:rPr>
              <w:t>существу (компетентным органом);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рассмотрения обращения или запроса за счет отсутствия необходимости возврата некорректно направленного обращения или запроса клиенту</w:t>
            </w:r>
          </w:p>
        </w:tc>
      </w:tr>
      <w:tr>
        <w:trPr>
          <w:trHeight w:hRule="atLeast" w:val="113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у</w:t>
            </w:r>
            <w:r>
              <w:rPr>
                <w:rFonts w:ascii="Times New Roman" w:hAnsi="Times New Roman"/>
                <w:color w:val="000000"/>
                <w:sz w:val="20"/>
              </w:rPr>
              <w:t>ведомление о переадресации обращения по компетенции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своевременное предоставление клиенту информации о переадресации его обращения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оперативное информирование клиента </w:t>
            </w:r>
          </w:p>
          <w:p w14:paraId="42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 рассмотрении его обращения иным органом </w:t>
            </w:r>
          </w:p>
          <w:p w14:paraId="43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соответствии с компетенцией</w:t>
            </w:r>
          </w:p>
        </w:tc>
      </w:tr>
      <w:tr>
        <w:trPr>
          <w:trHeight w:hRule="atLeast" w:val="1093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5) 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ассмотрение обращений и запросов </w:t>
            </w:r>
          </w:p>
          <w:p w14:paraId="4501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 подготовка ответов </w:t>
            </w:r>
          </w:p>
          <w:p w14:paraId="46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них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принятия р</w:t>
            </w:r>
            <w:r>
              <w:rPr>
                <w:rFonts w:ascii="Times New Roman" w:hAnsi="Times New Roman"/>
                <w:color w:val="000000"/>
                <w:sz w:val="20"/>
              </w:rPr>
              <w:t>ешения по обращению или запросу;</w:t>
            </w:r>
          </w:p>
          <w:p w14:paraId="48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рассмотрения обращения или запроса за счет использования внутриведомственных процедур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6) л</w:t>
            </w:r>
            <w:r>
              <w:rPr>
                <w:rFonts w:ascii="Times New Roman" w:hAnsi="Times New Roman"/>
                <w:color w:val="000000"/>
                <w:sz w:val="20"/>
              </w:rPr>
              <w:t>ичный прием граждан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оперативного принятия решения по личному обращению, </w:t>
            </w:r>
            <w:r>
              <w:rPr>
                <w:rFonts w:ascii="Times New Roman" w:hAnsi="Times New Roman"/>
                <w:color w:val="000000"/>
                <w:sz w:val="20"/>
              </w:rPr>
              <w:t>обеспечение принципа открытости;</w:t>
            </w:r>
          </w:p>
          <w:p w14:paraId="4B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сокращение общего срока рассмотрения обращения, возможность получения ответа по существу обращения непосредственно в ходе личного приема граждан</w:t>
            </w:r>
          </w:p>
        </w:tc>
      </w:tr>
      <w:tr>
        <w:trPr>
          <w:trHeight w:hRule="atLeast" w:val="1132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7) к</w:t>
            </w:r>
            <w:r>
              <w:rPr>
                <w:rFonts w:ascii="Times New Roman" w:hAnsi="Times New Roman"/>
                <w:color w:val="000000"/>
                <w:sz w:val="20"/>
              </w:rPr>
              <w:t>онтроль за соблюдением порядка рассмотрения обращений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рассмотрения обращения или </w:t>
            </w:r>
            <w:r>
              <w:rPr>
                <w:rFonts w:ascii="Times New Roman" w:hAnsi="Times New Roman"/>
                <w:color w:val="000000"/>
                <w:sz w:val="20"/>
              </w:rPr>
              <w:t>запроса в установленном порядке;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4E010000">
            <w:pPr>
              <w:widowControl w:val="1"/>
              <w:ind w:left="142" w:right="142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своевременность, объективность, всесторонность рассмотрения обращений, правовая </w:t>
            </w:r>
            <w:r>
              <w:rPr>
                <w:rFonts w:ascii="Times New Roman" w:hAnsi="Times New Roman"/>
                <w:sz w:val="20"/>
                <w:highlight w:val="white"/>
              </w:rPr>
              <w:t>обоснованность принятых решений</w:t>
            </w: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358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доступа к информации о деятельности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азмещение информации о деятельности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условий для получения клиентом информации о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администрации, затрагивающей его интересы;</w:t>
            </w:r>
          </w:p>
          <w:p w14:paraId="57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доступ клиента к информации о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, затрагивающей его интересы, доступным и удобным ему способом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2) предоставление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информации о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адресное направление клиенту информации о </w:t>
            </w:r>
            <w:r>
              <w:rPr>
                <w:rFonts w:ascii="Times New Roman" w:hAnsi="Times New Roman"/>
                <w:color w:val="000000"/>
                <w:sz w:val="20"/>
              </w:rPr>
              <w:t>деятельности администрации, органа администрации, затрагивающей его интересы;</w:t>
            </w:r>
          </w:p>
          <w:p w14:paraId="5A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доступ клиента к интересующей его информации о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 доступным и удобным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ему способом</w:t>
            </w:r>
          </w:p>
        </w:tc>
      </w:tr>
      <w:tr>
        <w:trPr>
          <w:trHeight w:hRule="atLeast" w:val="1160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отношений с внутренним клиентом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п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оступление на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муниципальную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службу (прием на работу)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кадровое комплектование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5F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реализация права на труд в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органе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, отсутствие необоснованных препятствий в реализации данного права</w:t>
            </w:r>
          </w:p>
        </w:tc>
      </w:tr>
      <w:tr>
        <w:trPr>
          <w:trHeight w:hRule="atLeast" w:val="218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спытание при поступлении на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муниципальную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службу (приеме на работу)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соблюдение требования законодательства для гражданина, впервые поступающего на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муниципальную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службу, в целях проверки его со</w:t>
            </w:r>
            <w:r>
              <w:rPr>
                <w:rFonts w:ascii="Times New Roman" w:hAnsi="Times New Roman"/>
                <w:color w:val="000000"/>
                <w:sz w:val="20"/>
              </w:rPr>
              <w:t>ответствия замещаемой должности;</w:t>
            </w:r>
          </w:p>
          <w:p w14:paraId="62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гарантии обеспечения реализации права на труд в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органе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 итогам выполнения установленных процедур, отсутствие необоснованных препятствий в реализации данного права</w:t>
            </w:r>
          </w:p>
        </w:tc>
      </w:tr>
      <w:tr>
        <w:trPr>
          <w:trHeight w:hRule="atLeast" w:val="1517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ттестация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муниципальных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служащих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определение соответствия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 служащего замещаемой должности;</w:t>
            </w:r>
          </w:p>
          <w:p w14:paraId="65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результаты аттестации влияют на дальнейшую служебную деятельность и ее перспективы, учитываются при принятии кадровых и иных решений (например, о назначении на вышестоящую должность, понижении в должности)</w:t>
            </w:r>
          </w:p>
        </w:tc>
      </w:tr>
      <w:tr>
        <w:trPr>
          <w:trHeight w:hRule="atLeast" w:val="887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п</w:t>
            </w:r>
            <w:r>
              <w:rPr>
                <w:rFonts w:ascii="Times New Roman" w:hAnsi="Times New Roman"/>
                <w:color w:val="000000"/>
                <w:sz w:val="20"/>
              </w:rPr>
              <w:t>редоставление отпуска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исполнение обязанности п</w:t>
            </w:r>
            <w:r>
              <w:rPr>
                <w:rFonts w:ascii="Times New Roman" w:hAnsi="Times New Roman"/>
                <w:color w:val="000000"/>
                <w:sz w:val="20"/>
              </w:rPr>
              <w:t>о предоставлению времени отдыха;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68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реализация права на отдых и иных прав, связанных с ним</w:t>
            </w:r>
          </w:p>
        </w:tc>
      </w:tr>
      <w:tr>
        <w:trPr>
          <w:trHeight w:hRule="atLeast" w:val="1241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5) н</w:t>
            </w:r>
            <w:r>
              <w:rPr>
                <w:rFonts w:ascii="Times New Roman" w:hAnsi="Times New Roman"/>
                <w:color w:val="000000"/>
                <w:sz w:val="20"/>
              </w:rPr>
              <w:t>аправление в служебную командировку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реализации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6B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ценность: соблюдение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прав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служащего (работника) в связи с направлением в служебную командировку</w:t>
            </w:r>
          </w:p>
        </w:tc>
      </w:tr>
      <w:tr>
        <w:trPr>
          <w:trHeight w:hRule="atLeast" w:val="168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6) п</w:t>
            </w:r>
            <w:r>
              <w:rPr>
                <w:rFonts w:ascii="Times New Roman" w:hAnsi="Times New Roman"/>
                <w:color w:val="000000"/>
                <w:sz w:val="20"/>
              </w:rPr>
              <w:t>еревод на иную должность (другую работу) или перемещение, замещение иной должности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реализации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6E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соблюдение прав и охрана законных интересов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служащего (работника) </w:t>
            </w:r>
          </w:p>
          <w:p w14:paraId="6F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связи с переводом на иную должность (другую работу) или перемещением, реализация соответствующих трудоправовых гарантий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7) и</w:t>
            </w:r>
            <w:r>
              <w:rPr>
                <w:rFonts w:ascii="Times New Roman" w:hAnsi="Times New Roman"/>
                <w:color w:val="000000"/>
                <w:sz w:val="20"/>
              </w:rPr>
              <w:t>зменение существенных условий служебного контракта (определенных сторонами условий трудового договора)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реализации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72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реализация права распоряжаться своими способностями к труду, исключение необоснованных препятствий в реализации данного права</w:t>
            </w:r>
          </w:p>
          <w:p w14:paraId="73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358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8) п</w:t>
            </w:r>
            <w:r>
              <w:rPr>
                <w:rFonts w:ascii="Times New Roman" w:hAnsi="Times New Roman"/>
                <w:color w:val="000000"/>
                <w:sz w:val="20"/>
              </w:rPr>
              <w:t>редотвращение и урегулирование конфликта интересов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недопущение причинения вреда законным интересам граждан, организаций, общества,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администрации, Российской Федерации;</w:t>
            </w:r>
          </w:p>
          <w:p w14:paraId="7C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исключение признания решений и (или) действий (бездействия) при выполнении служебных обязанностей принятыми (совершенными) из личной заинтересованности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9) п</w:t>
            </w:r>
            <w:r>
              <w:rPr>
                <w:rFonts w:ascii="Times New Roman" w:hAnsi="Times New Roman"/>
                <w:color w:val="000000"/>
                <w:sz w:val="20"/>
              </w:rPr>
              <w:t>редставление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противодействие и профилактика коррупции</w:t>
            </w:r>
            <w:r>
              <w:rPr>
                <w:rFonts w:ascii="Times New Roman" w:hAnsi="Times New Roman"/>
                <w:color w:val="000000"/>
                <w:sz w:val="20"/>
              </w:rPr>
              <w:t>;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простота декларирования сведений, сокращение временных и финансовых затрат за счет использования межведомственных процедур, понятная система проверки и оценки сведений</w:t>
            </w:r>
          </w:p>
        </w:tc>
      </w:tr>
      <w:tr>
        <w:trPr>
          <w:trHeight w:hRule="atLeast" w:val="1281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10) п</w:t>
            </w:r>
            <w:r>
              <w:rPr>
                <w:rFonts w:ascii="Times New Roman" w:hAnsi="Times New Roman"/>
                <w:color w:val="000000"/>
                <w:sz w:val="20"/>
              </w:rPr>
              <w:t>редставление сведений о размещении информации в информационно-телекоммуникационной сети «Интернет»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проверки соблюдения принципов профессиональной служебной этики и основ</w:t>
            </w:r>
            <w:r>
              <w:rPr>
                <w:rFonts w:ascii="Times New Roman" w:hAnsi="Times New Roman"/>
                <w:color w:val="000000"/>
                <w:sz w:val="20"/>
              </w:rPr>
              <w:t>ных правил служебного поведения;</w:t>
            </w:r>
          </w:p>
          <w:p w14:paraId="81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простота декларирования сведений, понятная и прозрачная система их оценки</w:t>
            </w:r>
          </w:p>
        </w:tc>
      </w:tr>
      <w:tr>
        <w:trPr>
          <w:trHeight w:hRule="atLeast" w:val="1301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11) п</w:t>
            </w:r>
            <w:r>
              <w:rPr>
                <w:rFonts w:ascii="Times New Roman" w:hAnsi="Times New Roman"/>
                <w:color w:val="000000"/>
                <w:sz w:val="20"/>
              </w:rPr>
              <w:t>рименение мер поощрения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положительная мотивация и стимулирование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муниципальных служащих (работников);</w:t>
            </w:r>
          </w:p>
          <w:p w14:paraId="84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положительная оценка результатов службы (работы), моральная и материальная удовлетворенность службой (работой), возможность дальнейшего продвижения по службе (работе)</w:t>
            </w:r>
          </w:p>
        </w:tc>
      </w:tr>
      <w:tr>
        <w:trPr>
          <w:trHeight w:hRule="atLeast" w:val="1463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12) п</w:t>
            </w:r>
            <w:r>
              <w:rPr>
                <w:rFonts w:ascii="Times New Roman" w:hAnsi="Times New Roman"/>
                <w:color w:val="000000"/>
                <w:sz w:val="20"/>
              </w:rPr>
              <w:t>ривлечение к дисциплинарной ответственности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общая и частная превенция нарушений </w:t>
            </w:r>
            <w:r>
              <w:rPr>
                <w:rFonts w:ascii="Times New Roman" w:hAnsi="Times New Roman"/>
                <w:color w:val="000000"/>
                <w:sz w:val="20"/>
              </w:rPr>
              <w:t>служебной (трудовой) дисциплины;</w:t>
            </w:r>
          </w:p>
          <w:p w14:paraId="87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простота системы проверки и оценки допущенных нарушений служебной (трудовой) дисциплины, избрания меры дисциплинарного взыскания</w:t>
            </w:r>
          </w:p>
        </w:tc>
      </w:tr>
      <w:tr>
        <w:trPr>
          <w:trHeight w:hRule="atLeast" w:val="1355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13) 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казание материальной помощи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дополнительное материальное стимулирование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служаще</w:t>
            </w:r>
            <w:r>
              <w:rPr>
                <w:rFonts w:ascii="Times New Roman" w:hAnsi="Times New Roman"/>
                <w:color w:val="000000"/>
                <w:sz w:val="20"/>
              </w:rPr>
              <w:t>го (работника), оказание помощи;</w:t>
            </w:r>
          </w:p>
          <w:p w14:paraId="8A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создание благоприятных материальных условий службы (труда), материальная поддержка в сложных жизненных ситуациях</w:t>
            </w:r>
          </w:p>
        </w:tc>
      </w:tr>
      <w:tr>
        <w:trPr>
          <w:trHeight w:hRule="atLeast" w:val="1672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14) п</w:t>
            </w:r>
            <w:r>
              <w:rPr>
                <w:rFonts w:ascii="Times New Roman" w:hAnsi="Times New Roman"/>
                <w:color w:val="000000"/>
                <w:sz w:val="20"/>
              </w:rPr>
              <w:t>редоставление государственных социальных гарантий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дополнительное стимулирование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служаще</w:t>
            </w:r>
            <w:r>
              <w:rPr>
                <w:rFonts w:ascii="Times New Roman" w:hAnsi="Times New Roman"/>
                <w:color w:val="000000"/>
                <w:sz w:val="20"/>
              </w:rPr>
              <w:t>го (работника), оказание помощи;</w:t>
            </w:r>
          </w:p>
          <w:p w14:paraId="8D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создание благоприятных условий службы (труда), социальное обеспечение, надлежащая компенсация расходов, понесенных в связи со служебной (трудовой) деятельностью</w:t>
            </w:r>
          </w:p>
        </w:tc>
      </w:tr>
      <w:tr>
        <w:trPr>
          <w:trHeight w:hRule="atLeast" w:val="1753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15) о</w:t>
            </w:r>
            <w:r>
              <w:rPr>
                <w:rFonts w:ascii="Times New Roman" w:hAnsi="Times New Roman"/>
                <w:color w:val="000000"/>
                <w:sz w:val="20"/>
              </w:rPr>
              <w:t>рганизация выполнения служебных (трудовых) обязанностей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создание условий для эффективной реализации отдельных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90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обеспечение условий, позволяющих беспрепятственно и эффективно выполнять служебные (трудовые) обязанности в установленном порядке</w:t>
            </w:r>
          </w:p>
        </w:tc>
      </w:tr>
      <w:tr>
        <w:trPr>
          <w:trHeight w:hRule="atLeast" w:val="127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16) о</w:t>
            </w:r>
            <w:r>
              <w:rPr>
                <w:rFonts w:ascii="Times New Roman" w:hAnsi="Times New Roman"/>
                <w:color w:val="000000"/>
                <w:sz w:val="20"/>
              </w:rPr>
              <w:t>рганизация документооборота и оперативного взаимодействия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документальное обеспечение реализации отдельных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 и защита информации;</w:t>
            </w:r>
          </w:p>
          <w:p w14:paraId="93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удобство работы с документами и служебной информацией, обеспечение оперативного выполнения поручений</w:t>
            </w:r>
          </w:p>
        </w:tc>
      </w:tr>
      <w:tr>
        <w:trPr>
          <w:trHeight w:hRule="atLeast" w:val="28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hRule="atLeast" w:val="1701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17) в</w:t>
            </w:r>
            <w:r>
              <w:rPr>
                <w:rFonts w:ascii="Times New Roman" w:hAnsi="Times New Roman"/>
                <w:color w:val="000000"/>
                <w:sz w:val="20"/>
              </w:rPr>
              <w:t>ыполнение служебных (трудовых) обязанностей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реализации отдельных полномочий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9C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непосредственное выполнение трудовой функции, качество которого влияет на продвижение по службе (работе), премирование, применение мер ответственности и иные процессы в рамках служебной (трудовой) деятельности</w:t>
            </w:r>
          </w:p>
        </w:tc>
      </w:tr>
      <w:tr>
        <w:trPr>
          <w:trHeight w:hRule="atLeast" w:val="1114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8) п</w:t>
            </w:r>
            <w:r>
              <w:rPr>
                <w:rFonts w:ascii="Times New Roman" w:hAnsi="Times New Roman"/>
                <w:color w:val="000000"/>
                <w:sz w:val="20"/>
              </w:rPr>
              <w:t>рекращение служебного контракта (трудового договора)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баланс частных и публичных интересов в связи с прекращением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служебных (трудовых) отношений;</w:t>
            </w:r>
          </w:p>
          <w:p w14:paraId="9F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обеспечение трудоправовых гарантий при прекращении служебных (трудовых) отношений, простота процедур, связанных с увольнением</w:t>
            </w:r>
          </w:p>
        </w:tc>
      </w:tr>
      <w:tr>
        <w:trPr>
          <w:trHeight w:hRule="atLeast" w:val="180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19) и</w:t>
            </w:r>
            <w:r>
              <w:rPr>
                <w:rFonts w:ascii="Times New Roman" w:hAnsi="Times New Roman"/>
                <w:color w:val="000000"/>
                <w:sz w:val="20"/>
              </w:rPr>
              <w:t>ндивидуальный служебный (трудовой) спор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ель: обеспечение принятия представителем нанимателя (работодателем) законных и обоснованных решений (совершения действий), исправления возникающих ошибок в правоприменении;</w:t>
            </w:r>
          </w:p>
          <w:p w14:paraId="A2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доступ к защите прав и законных интересов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муниципального служащего (работника), </w:t>
            </w:r>
            <w:r>
              <w:rPr>
                <w:rFonts w:ascii="Times New Roman" w:hAnsi="Times New Roman"/>
                <w:sz w:val="20"/>
              </w:rPr>
              <w:t>органов</w:t>
            </w:r>
            <w:r>
              <w:rPr>
                <w:rFonts w:ascii="Times New Roman" w:hAnsi="Times New Roman"/>
                <w:sz w:val="20"/>
              </w:rPr>
              <w:t xml:space="preserve">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, возможность быстрого и эффективного исправления ошибок в правоприменении</w:t>
            </w:r>
          </w:p>
        </w:tc>
      </w:tr>
      <w:tr>
        <w:trPr>
          <w:trHeight w:hRule="atLeast" w:val="1653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20) 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рганизация клиентоцентричной корпоративной среды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внедрение клиентоцентричного подхода по работе с кадровым составом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A5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упрощенная адаптация, понятная система мотивации, перспективы профессионального развития (карьерный рост) и комфортная корпоративная среда для </w:t>
            </w:r>
            <w:r>
              <w:rPr>
                <w:rFonts w:ascii="Times New Roman" w:hAnsi="Times New Roman"/>
                <w:color w:val="000000"/>
                <w:sz w:val="20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служащего (работника)</w:t>
            </w:r>
          </w:p>
        </w:tc>
      </w:tr>
      <w:tr>
        <w:trPr>
          <w:trHeight w:hRule="atLeast" w:val="426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widowControl w:val="1"/>
              <w:ind w:left="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Иные функции (обеспечения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1) 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аделение полномочиями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, подведомственных ему учреждений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нормативное обеспечение реализации функций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администрации;</w:t>
            </w:r>
          </w:p>
          <w:p w14:paraId="AA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непосредственной ценности для клиента не выявлено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2) 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беспечение штатной численности и фонда оплаты труда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>, подведомственных ему учреждений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кадровое и финансовое обеспечение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(внебюджетного фонда);</w:t>
            </w:r>
          </w:p>
          <w:p w14:paraId="AD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непосредственной ценности для клиента не выявлено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3) 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рганизация текущей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подведомственных им </w:t>
            </w:r>
            <w:r>
              <w:rPr>
                <w:rFonts w:ascii="Times New Roman" w:hAnsi="Times New Roman"/>
                <w:color w:val="000000"/>
                <w:sz w:val="20"/>
              </w:rPr>
              <w:t>учреждений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организационное обеспечение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администрации, органа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(внебюджетного фонда);</w:t>
            </w:r>
          </w:p>
          <w:p w14:paraId="B0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енность: непосредственной ценности для клиента </w:t>
            </w:r>
          </w:p>
          <w:p w14:paraId="B1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 выявлено</w:t>
            </w:r>
          </w:p>
        </w:tc>
      </w:tr>
      <w:tr>
        <w:trPr>
          <w:trHeight w:hRule="atLeast" w:val="135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widowControl w:val="1"/>
              <w:ind w:left="142" w:right="14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4) 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оординация и контроль деятельности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администрации, органа администрации, подведомственных </w:t>
            </w:r>
          </w:p>
          <w:p w14:paraId="B3010000">
            <w:pPr>
              <w:widowControl w:val="1"/>
              <w:ind w:left="142"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им </w:t>
            </w:r>
            <w:r>
              <w:rPr>
                <w:rFonts w:ascii="Times New Roman" w:hAnsi="Times New Roman"/>
                <w:color w:val="000000"/>
                <w:sz w:val="20"/>
              </w:rPr>
              <w:t>учреждений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widowControl w:val="1"/>
              <w:ind w:left="142" w:right="142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ель: обеспечение достижения </w:t>
            </w:r>
            <w:r>
              <w:rPr>
                <w:rFonts w:ascii="Times New Roman" w:hAnsi="Times New Roman"/>
                <w:color w:val="000000"/>
                <w:sz w:val="20"/>
              </w:rPr>
              <w:t>администрацией, органом администрации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целей реализации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возложенных на них полномочий;</w:t>
            </w:r>
          </w:p>
          <w:p w14:paraId="B5010000">
            <w:pPr>
              <w:widowControl w:val="1"/>
              <w:ind w:left="142"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</w:t>
            </w:r>
            <w:r>
              <w:rPr>
                <w:rFonts w:ascii="Times New Roman" w:hAnsi="Times New Roman"/>
                <w:color w:val="000000"/>
                <w:sz w:val="20"/>
              </w:rPr>
              <w:t>енность: непосредственной ценности для клиента не выявлено</w:t>
            </w:r>
          </w:p>
        </w:tc>
      </w:tr>
    </w:tbl>
    <w:p w14:paraId="B6010000">
      <w:pPr>
        <w:pStyle w:val="Style_9"/>
        <w:widowControl w:val="0"/>
        <w:spacing w:line="240" w:lineRule="exact"/>
        <w:ind/>
        <w:jc w:val="center"/>
        <w:rPr>
          <w:sz w:val="28"/>
        </w:rPr>
      </w:pPr>
    </w:p>
    <w:p w14:paraId="B7010000">
      <w:pPr>
        <w:pStyle w:val="Style_9"/>
        <w:widowControl w:val="0"/>
        <w:spacing w:line="240" w:lineRule="exact"/>
        <w:ind/>
        <w:jc w:val="center"/>
        <w:rPr>
          <w:sz w:val="28"/>
        </w:rPr>
      </w:pPr>
    </w:p>
    <w:p w14:paraId="B801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sectPr>
      <w:headerReference r:id="rId7" w:type="default"/>
      <w:headerReference r:id="rId2" w:type="first"/>
      <w:pgSz w:h="16838" w:orient="portrait" w:w="11905"/>
      <w:pgMar w:bottom="1134" w:footer="720" w:gutter="0" w:header="720" w:left="1985" w:right="567" w:top="141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rFonts w:ascii="Times New Roman" w:hAnsi="Times New Roman"/>
        <w:sz w:val="28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  <w:rPr>
        <w:rFonts w:ascii="Times New Roman" w:hAnsi="Times New Roman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C000000">
    <w:pPr>
      <w:pStyle w:val="Style_1"/>
      <w:rPr>
        <w:rFonts w:ascii="Times New Roman" w:hAnsi="Times New Roman"/>
        <w:sz w:val="28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E000000">
    <w:pPr>
      <w:pStyle w:val="Style_1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russianLower"/>
      <w:lvlText w:val="%1)"/>
      <w:lvlJc w:val="left"/>
      <w:pPr>
        <w:widowControl w:val="1"/>
        <w:ind w:hanging="360" w:left="1418"/>
      </w:pPr>
    </w:lvl>
    <w:lvl w:ilvl="1">
      <w:start w:val="1"/>
      <w:numFmt w:val="lowerLetter"/>
      <w:lvlText w:val="%2."/>
      <w:lvlJc w:val="left"/>
      <w:pPr>
        <w:widowControl w:val="1"/>
        <w:ind w:hanging="360" w:left="2138"/>
      </w:pPr>
    </w:lvl>
    <w:lvl w:ilvl="2">
      <w:start w:val="1"/>
      <w:numFmt w:val="lowerRoman"/>
      <w:lvlText w:val="%3."/>
      <w:lvlJc w:val="right"/>
      <w:pPr>
        <w:widowControl w:val="1"/>
        <w:ind w:hanging="180" w:left="2858"/>
      </w:pPr>
    </w:lvl>
    <w:lvl w:ilvl="3">
      <w:start w:val="1"/>
      <w:numFmt w:val="decimal"/>
      <w:lvlText w:val="%4."/>
      <w:lvlJc w:val="left"/>
      <w:pPr>
        <w:widowControl w:val="1"/>
        <w:ind w:hanging="360" w:left="3578"/>
      </w:pPr>
    </w:lvl>
    <w:lvl w:ilvl="4">
      <w:start w:val="1"/>
      <w:numFmt w:val="lowerLetter"/>
      <w:lvlText w:val="%5."/>
      <w:lvlJc w:val="left"/>
      <w:pPr>
        <w:widowControl w:val="1"/>
        <w:ind w:hanging="360" w:left="4298"/>
      </w:pPr>
    </w:lvl>
    <w:lvl w:ilvl="5">
      <w:start w:val="1"/>
      <w:numFmt w:val="lowerRoman"/>
      <w:lvlText w:val="%6."/>
      <w:lvlJc w:val="right"/>
      <w:pPr>
        <w:widowControl w:val="1"/>
        <w:ind w:hanging="180" w:left="5018"/>
      </w:pPr>
    </w:lvl>
    <w:lvl w:ilvl="6">
      <w:start w:val="1"/>
      <w:numFmt w:val="decimal"/>
      <w:lvlText w:val="%7."/>
      <w:lvlJc w:val="left"/>
      <w:pPr>
        <w:widowControl w:val="1"/>
        <w:ind w:hanging="360" w:left="5738"/>
      </w:pPr>
    </w:lvl>
    <w:lvl w:ilvl="7">
      <w:start w:val="1"/>
      <w:numFmt w:val="lowerLetter"/>
      <w:lvlText w:val="%8."/>
      <w:lvlJc w:val="left"/>
      <w:pPr>
        <w:widowControl w:val="1"/>
        <w:ind w:hanging="360" w:left="6458"/>
      </w:pPr>
    </w:lvl>
    <w:lvl w:ilvl="8">
      <w:start w:val="1"/>
      <w:numFmt w:val="lowerRoman"/>
      <w:lvlText w:val="%9."/>
      <w:lvlJc w:val="right"/>
      <w:pPr>
        <w:widowControl w:val="1"/>
        <w:ind w:hanging="180" w:left="717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10" w:type="paragraph">
    <w:name w:val="toc 2"/>
    <w:next w:val="Style_2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2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2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2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2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footer"/>
    <w:basedOn w:val="Style_2"/>
    <w:link w:val="Style_1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footer"/>
    <w:basedOn w:val="Style_2_ch"/>
    <w:link w:val="Style_16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7" w:type="paragraph">
    <w:name w:val="toc 3"/>
    <w:next w:val="Style_2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5"/>
    <w:next w:val="Style_2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2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4" w:type="paragraph">
    <w:name w:val="ConsPlusNormal"/>
    <w:link w:val="Style_4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21" w:type="paragraph">
    <w:name w:val="Hyperlink"/>
    <w:basedOn w:val="Style_18"/>
    <w:link w:val="Style_21_ch"/>
    <w:rPr>
      <w:color w:val="0000FF"/>
      <w:u w:val="single"/>
    </w:rPr>
  </w:style>
  <w:style w:styleId="Style_21_ch" w:type="character">
    <w:name w:val="Hyperlink"/>
    <w:basedOn w:val="Style_18_ch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5" w:type="paragraph">
    <w:name w:val="fontstyle01"/>
    <w:link w:val="Style_5_ch"/>
    <w:rPr>
      <w:rFonts w:ascii="TimesNewRomanPSMT" w:hAnsi="TimesNewRomanPSMT"/>
      <w:b w:val="0"/>
      <w:i w:val="0"/>
      <w:color w:val="000000"/>
      <w:sz w:val="28"/>
    </w:rPr>
  </w:style>
  <w:style w:styleId="Style_5_ch" w:type="character">
    <w:name w:val="fontstyle01"/>
    <w:link w:val="Style_5"/>
    <w:rPr>
      <w:rFonts w:ascii="TimesNewRomanPSMT" w:hAnsi="TimesNewRomanPSMT"/>
      <w:b w:val="0"/>
      <w:i w:val="0"/>
      <w:color w:val="000000"/>
      <w:sz w:val="28"/>
    </w:rPr>
  </w:style>
  <w:style w:styleId="Style_23" w:type="paragraph">
    <w:name w:val="toc 1"/>
    <w:next w:val="Style_2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8" w:type="paragraph">
    <w:name w:val="ConsPlusNonformat"/>
    <w:link w:val="Style_8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8_ch" w:type="character">
    <w:name w:val="ConsPlusNonformat"/>
    <w:link w:val="Style_8"/>
    <w:rPr>
      <w:rFonts w:ascii="Courier New" w:hAnsi="Courier New"/>
      <w:sz w:val="20"/>
    </w:rPr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6" w:type="paragraph">
    <w:name w:val="Основной"/>
    <w:link w:val="Style_6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styleId="Style_6_ch" w:type="character">
    <w:name w:val="Основной"/>
    <w:link w:val="Style_6"/>
    <w:rPr>
      <w:rFonts w:ascii="Times New Roman" w:hAnsi="Times New Roman"/>
      <w:sz w:val="28"/>
    </w:rPr>
  </w:style>
  <w:style w:styleId="Style_9" w:type="paragraph">
    <w:name w:val="No Spacing"/>
    <w:link w:val="Style_9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9_ch" w:type="character">
    <w:name w:val="No Spacing"/>
    <w:link w:val="Style_9"/>
    <w:rPr>
      <w:rFonts w:ascii="Times New Roman" w:hAnsi="Times New Roman"/>
      <w:sz w:val="24"/>
    </w:rPr>
  </w:style>
  <w:style w:styleId="Style_29" w:type="paragraph">
    <w:name w:val="Title"/>
    <w:basedOn w:val="Style_2"/>
    <w:link w:val="Style_29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9_ch" w:type="character">
    <w:name w:val="Title"/>
    <w:basedOn w:val="Style_2_ch"/>
    <w:link w:val="Style_29"/>
    <w:rPr>
      <w:rFonts w:ascii="Times New Roman" w:hAnsi="Times New Roman"/>
      <w:spacing w:val="-20"/>
      <w:sz w:val="36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" w:type="paragraph">
    <w:name w:val="List Paragraph"/>
    <w:basedOn w:val="Style_2"/>
    <w:link w:val="Style_3_ch"/>
    <w:pPr>
      <w:widowControl w:val="1"/>
      <w:ind w:left="720"/>
      <w:contextualSpacing w:val="1"/>
    </w:pPr>
    <w:rPr>
      <w:rFonts w:ascii="Calibri" w:hAnsi="Calibri"/>
    </w:rPr>
  </w:style>
  <w:style w:styleId="Style_3_ch" w:type="character">
    <w:name w:val="List Paragraph"/>
    <w:basedOn w:val="Style_2_ch"/>
    <w:link w:val="Style_3"/>
    <w:rPr>
      <w:rFonts w:ascii="Calibri" w:hAnsi="Calibri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3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Сетка таблицы1"/>
    <w:basedOn w:val="Style_32"/>
    <w:pPr>
      <w:widowControl w:val="1"/>
      <w:spacing w:after="0" w:line="240" w:lineRule="auto"/>
      <w:ind/>
    </w:pPr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Сетка таблицы2"/>
    <w:basedOn w:val="Style_32"/>
    <w:pPr>
      <w:widowControl w:val="1"/>
      <w:spacing w:after="0" w:line="240" w:lineRule="auto"/>
      <w:ind/>
    </w:pPr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header5.xml" Type="http://schemas.openxmlformats.org/officeDocument/2006/relationships/header"/>
  <Relationship Id="rId11" Target="styles.xml" Type="http://schemas.openxmlformats.org/officeDocument/2006/relationships/styles"/>
  <Relationship Id="rId8" Target="media/1.png" Type="http://schemas.openxmlformats.org/officeDocument/2006/relationships/image"/>
  <Relationship Id="rId2" Target="header2.xml" Type="http://schemas.openxmlformats.org/officeDocument/2006/relationships/head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2025-07-16T08:50:00Z</dcterms:created>
  <dcterms:modified xsi:type="dcterms:W3CDTF">2025-07-21T12:37:35Z</dcterms:modified>
</cp:coreProperties>
</file>